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r>
        <w:rPr>
          <w:rFonts w:hint="eastAsia" w:ascii="宋体" w:hAnsi="宋体"/>
          <w:b/>
          <w:sz w:val="36"/>
          <w:szCs w:val="36"/>
        </w:rPr>
        <w:t>2</w:t>
      </w:r>
      <w:r>
        <w:rPr>
          <w:rFonts w:ascii="宋体" w:hAnsi="宋体"/>
          <w:b/>
          <w:sz w:val="36"/>
          <w:szCs w:val="36"/>
        </w:rPr>
        <w:t>022</w:t>
      </w:r>
      <w:r>
        <w:rPr>
          <w:rFonts w:hint="eastAsia" w:ascii="宋体" w:hAnsi="宋体"/>
          <w:b/>
          <w:sz w:val="36"/>
          <w:szCs w:val="36"/>
        </w:rPr>
        <w:t>年度天津劳动经济学校</w:t>
      </w:r>
    </w:p>
    <w:p>
      <w:pPr>
        <w:jc w:val="center"/>
        <w:rPr>
          <w:rFonts w:hint="eastAsia" w:ascii="宋体" w:hAnsi="宋体" w:eastAsia="宋体"/>
          <w:b/>
          <w:sz w:val="36"/>
          <w:szCs w:val="36"/>
          <w:lang w:eastAsia="zh-CN"/>
        </w:rPr>
      </w:pPr>
      <w:r>
        <w:rPr>
          <w:rFonts w:hint="eastAsia" w:ascii="宋体" w:hAnsi="宋体"/>
          <w:b/>
          <w:sz w:val="36"/>
          <w:szCs w:val="36"/>
        </w:rPr>
        <w:t>网络信息安全等级保护测评服务项目</w:t>
      </w:r>
      <w:r>
        <w:rPr>
          <w:rFonts w:hint="eastAsia" w:ascii="宋体" w:hAnsi="宋体"/>
          <w:b/>
          <w:sz w:val="36"/>
          <w:szCs w:val="36"/>
          <w:lang w:val="en-US" w:eastAsia="zh-CN"/>
        </w:rPr>
        <w:t>比选公告</w:t>
      </w:r>
    </w:p>
    <w:p>
      <w:pPr>
        <w:keepNext/>
        <w:keepLines/>
        <w:numPr>
          <w:ilvl w:val="0"/>
          <w:numId w:val="2"/>
        </w:numPr>
        <w:tabs>
          <w:tab w:val="clear" w:pos="420"/>
        </w:tabs>
        <w:spacing w:before="260" w:after="260" w:line="416" w:lineRule="auto"/>
        <w:ind w:left="0" w:firstLine="0"/>
        <w:outlineLvl w:val="1"/>
        <w:rPr>
          <w:rFonts w:ascii="宋体" w:hAnsi="宋体" w:cstheme="majorBidi"/>
          <w:b/>
          <w:bCs/>
          <w:sz w:val="32"/>
          <w:szCs w:val="32"/>
        </w:rPr>
      </w:pPr>
      <w:r>
        <w:rPr>
          <w:rFonts w:hint="eastAsia" w:ascii="宋体" w:hAnsi="宋体" w:cstheme="majorBidi"/>
          <w:b/>
          <w:bCs/>
          <w:sz w:val="32"/>
          <w:szCs w:val="32"/>
        </w:rPr>
        <w:t>项目背景</w:t>
      </w:r>
    </w:p>
    <w:p>
      <w:pPr>
        <w:spacing w:line="360" w:lineRule="auto"/>
        <w:ind w:firstLine="480" w:firstLineChars="200"/>
        <w:rPr>
          <w:rFonts w:ascii="宋体" w:hAnsi="宋体"/>
          <w:sz w:val="24"/>
        </w:rPr>
      </w:pPr>
      <w:r>
        <w:rPr>
          <w:rFonts w:hint="eastAsia" w:ascii="宋体" w:hAnsi="宋体"/>
          <w:sz w:val="24"/>
        </w:rPr>
        <w:t>随着“互联网+教育”的快速发展和线上教学的不断普及，校内各教学管理相关的应用系统安全性变得越来越重要，尤其是作为数字化校园基础的校园数据中心和应用服务平台承担了越来越重要的与教学相关的任务，由于这些平台和系统包含了在校师生的各方面信息和数据，与师生的学习和日常生活息息相关，对于这些数据和业务的安全保障成为相当关键的工作任务。</w:t>
      </w:r>
    </w:p>
    <w:p>
      <w:pPr>
        <w:spacing w:line="360" w:lineRule="auto"/>
        <w:ind w:firstLine="480" w:firstLineChars="200"/>
        <w:rPr>
          <w:rFonts w:ascii="宋体" w:hAnsi="宋体"/>
          <w:sz w:val="24"/>
        </w:rPr>
      </w:pPr>
      <w:r>
        <w:rPr>
          <w:rFonts w:hint="eastAsia" w:ascii="宋体" w:hAnsi="宋体"/>
          <w:sz w:val="24"/>
        </w:rPr>
        <w:t>信息安全等级保护制度是国家信息安全保障工作的基本制度、基本策略和基本方法，是促进信息化健康发展，维护国家安全、社会秩序和公共利益的根本保障。国务院法规和中央文件明确规定，要实行信息安全等级保护，重点保护基础信息网络和关系国家安全、经济命脉、社会稳定等方面的重要信息系统，抓紧建立信息安全等级保护制度。信息安全等级保护是当今发达国家保护关键信息基础设施、保障信息安全的通行做法，也是我国多年来信息安全工作经验的总结。开展网络信息安全等级保护工作不仅是保障重要信息系统安全的重大措施，也是一项事关国家安全、社会稳定、国家利益的重要任务。</w:t>
      </w:r>
    </w:p>
    <w:p>
      <w:pPr>
        <w:spacing w:line="360" w:lineRule="auto"/>
        <w:ind w:firstLine="480" w:firstLineChars="200"/>
        <w:rPr>
          <w:rFonts w:ascii="宋体" w:hAnsi="宋体"/>
          <w:sz w:val="24"/>
        </w:rPr>
      </w:pPr>
      <w:r>
        <w:rPr>
          <w:rFonts w:hint="eastAsia" w:ascii="宋体" w:hAnsi="宋体"/>
          <w:sz w:val="24"/>
        </w:rPr>
        <w:t>2017年6月1日，国家已正式颁布</w:t>
      </w:r>
      <w:r>
        <w:rPr>
          <w:rFonts w:ascii="宋体" w:hAnsi="宋体"/>
          <w:sz w:val="24"/>
        </w:rPr>
        <w:t>《中华人民共和国网络安全法》</w:t>
      </w:r>
      <w:r>
        <w:rPr>
          <w:rFonts w:hint="eastAsia" w:ascii="宋体" w:hAnsi="宋体"/>
          <w:sz w:val="24"/>
        </w:rPr>
        <w:t>，信息安全上升到一定的高度，法规第二十一条明确要求：国家实行网络安全等级保护制度。网络运营者应当按照网络安全等级保护制度的要求，履行信息安全保护义务，保障网络免受干扰、破坏或者未经授权的访问，防止网络数据泄露或者被窃取、篡改。同时还对违反要求的行为制定了相应的罚则，网络安全法第五十一条明确指出：网络运营者不履行本法第十七条、第二十一条规定的网络安全保护义务的，由有关主管部门责令改正，给予警告；拒不改正或者导致危害网络安全等后果的，处一万元以上十万元以下罚款；对直接负责的主管人员处五千元以上五万元以下罚款。</w:t>
      </w:r>
    </w:p>
    <w:p>
      <w:pPr>
        <w:spacing w:line="360" w:lineRule="auto"/>
        <w:ind w:firstLine="480" w:firstLineChars="200"/>
        <w:rPr>
          <w:rFonts w:ascii="宋体" w:hAnsi="宋体"/>
          <w:sz w:val="24"/>
        </w:rPr>
      </w:pPr>
      <w:r>
        <w:rPr>
          <w:rFonts w:hint="eastAsia" w:ascii="宋体" w:hAnsi="宋体"/>
          <w:sz w:val="24"/>
        </w:rPr>
        <w:t>我校向来对信息安全高度重视，为贯彻公安部、国家保密局、国家密码管理局和国务院信息化工作办公室四部委联合制定的《信息安全等级保护管理办法》的要求，也为了符合</w:t>
      </w:r>
      <w:r>
        <w:rPr>
          <w:rFonts w:ascii="宋体" w:hAnsi="宋体"/>
          <w:sz w:val="24"/>
        </w:rPr>
        <w:t>《中华人民共和国网络安全法》</w:t>
      </w:r>
      <w:r>
        <w:rPr>
          <w:rFonts w:hint="eastAsia" w:ascii="宋体" w:hAnsi="宋体"/>
          <w:sz w:val="24"/>
        </w:rPr>
        <w:t>的相关要求，更为了了解我校信息系统的安全现状，使后续的信息安全建设整改工作具有目标性，按照公安部门的部署要求，我校严格执行二级应用系统每2年一次测评的方案。本次信息安全等级保护测评工作将针对</w:t>
      </w:r>
      <w:r>
        <w:rPr>
          <w:rFonts w:ascii="宋体" w:hAnsi="宋体"/>
          <w:sz w:val="24"/>
        </w:rPr>
        <w:t>2022</w:t>
      </w:r>
      <w:r>
        <w:rPr>
          <w:rFonts w:hint="eastAsia" w:ascii="宋体" w:hAnsi="宋体"/>
          <w:sz w:val="24"/>
        </w:rPr>
        <w:t xml:space="preserve">年度的重要应用系统进行等级保护测评。 </w:t>
      </w:r>
    </w:p>
    <w:p>
      <w:pPr>
        <w:keepNext/>
        <w:keepLines/>
        <w:numPr>
          <w:ilvl w:val="0"/>
          <w:numId w:val="2"/>
        </w:numPr>
        <w:tabs>
          <w:tab w:val="clear" w:pos="420"/>
        </w:tabs>
        <w:spacing w:before="260" w:after="260" w:line="416" w:lineRule="auto"/>
        <w:ind w:left="0" w:firstLine="0"/>
        <w:outlineLvl w:val="1"/>
        <w:rPr>
          <w:rFonts w:ascii="宋体" w:hAnsi="宋体" w:cstheme="majorBidi"/>
          <w:b/>
          <w:bCs/>
          <w:sz w:val="32"/>
          <w:szCs w:val="32"/>
        </w:rPr>
      </w:pPr>
      <w:r>
        <w:rPr>
          <w:rFonts w:hint="eastAsia" w:ascii="宋体" w:hAnsi="宋体" w:cstheme="majorBidi"/>
          <w:b/>
          <w:bCs/>
          <w:sz w:val="32"/>
          <w:szCs w:val="32"/>
        </w:rPr>
        <w:t>服务范围及内容</w:t>
      </w:r>
    </w:p>
    <w:p>
      <w:pPr>
        <w:spacing w:line="360" w:lineRule="auto"/>
        <w:ind w:right="240"/>
        <w:rPr>
          <w:rFonts w:ascii="宋体" w:hAnsi="宋体"/>
          <w:sz w:val="24"/>
        </w:rPr>
      </w:pPr>
      <w:r>
        <w:rPr>
          <w:rFonts w:hint="eastAsia" w:ascii="宋体" w:hAnsi="宋体"/>
          <w:sz w:val="24"/>
        </w:rPr>
        <w:t>信息安全等级保护测评服务范围如下：</w:t>
      </w:r>
    </w:p>
    <w:tbl>
      <w:tblPr>
        <w:tblStyle w:val="18"/>
        <w:tblW w:w="5000" w:type="pct"/>
        <w:tblInd w:w="0" w:type="dxa"/>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5163"/>
        <w:gridCol w:w="2403"/>
      </w:tblGrid>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c>
          <w:tcPr>
            <w:tcW w:w="561" w:type="pct"/>
          </w:tcPr>
          <w:p>
            <w:pPr>
              <w:spacing w:line="360" w:lineRule="auto"/>
              <w:jc w:val="center"/>
              <w:rPr>
                <w:rFonts w:ascii="宋体" w:hAnsi="宋体"/>
                <w:sz w:val="24"/>
                <w:lang w:eastAsia="en-US" w:bidi="en-US"/>
              </w:rPr>
            </w:pPr>
            <w:r>
              <w:rPr>
                <w:rFonts w:hint="eastAsia" w:ascii="宋体" w:hAnsi="宋体"/>
                <w:sz w:val="24"/>
              </w:rPr>
              <w:t>序号</w:t>
            </w:r>
          </w:p>
        </w:tc>
        <w:tc>
          <w:tcPr>
            <w:tcW w:w="3029" w:type="pct"/>
          </w:tcPr>
          <w:p>
            <w:pPr>
              <w:spacing w:line="360" w:lineRule="auto"/>
              <w:jc w:val="center"/>
              <w:rPr>
                <w:rFonts w:ascii="宋体" w:hAnsi="宋体"/>
                <w:sz w:val="24"/>
                <w:lang w:eastAsia="en-US" w:bidi="en-US"/>
              </w:rPr>
            </w:pPr>
            <w:r>
              <w:rPr>
                <w:rFonts w:hint="eastAsia" w:ascii="宋体" w:hAnsi="宋体"/>
                <w:sz w:val="24"/>
              </w:rPr>
              <w:t>信息系统</w:t>
            </w:r>
          </w:p>
        </w:tc>
        <w:tc>
          <w:tcPr>
            <w:tcW w:w="1410" w:type="pct"/>
          </w:tcPr>
          <w:p>
            <w:pPr>
              <w:spacing w:line="360" w:lineRule="auto"/>
              <w:jc w:val="center"/>
              <w:rPr>
                <w:rFonts w:ascii="宋体" w:hAnsi="宋体"/>
                <w:sz w:val="24"/>
              </w:rPr>
            </w:pPr>
            <w:r>
              <w:rPr>
                <w:rFonts w:hint="eastAsia" w:ascii="宋体" w:hAnsi="宋体"/>
                <w:sz w:val="24"/>
              </w:rPr>
              <w:t>安全保护等级</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c>
          <w:tcPr>
            <w:tcW w:w="561" w:type="pct"/>
          </w:tcPr>
          <w:p>
            <w:pPr>
              <w:spacing w:line="360" w:lineRule="auto"/>
              <w:jc w:val="center"/>
              <w:rPr>
                <w:rFonts w:ascii="宋体" w:hAnsi="宋体"/>
                <w:sz w:val="24"/>
                <w:lang w:bidi="en-US"/>
              </w:rPr>
            </w:pPr>
            <w:r>
              <w:rPr>
                <w:rFonts w:hint="eastAsia" w:ascii="宋体" w:hAnsi="宋体"/>
                <w:sz w:val="24"/>
                <w:lang w:bidi="en-US"/>
              </w:rPr>
              <w:t>1</w:t>
            </w:r>
          </w:p>
        </w:tc>
        <w:tc>
          <w:tcPr>
            <w:tcW w:w="3029" w:type="pct"/>
          </w:tcPr>
          <w:p>
            <w:pPr>
              <w:spacing w:line="360" w:lineRule="auto"/>
              <w:jc w:val="center"/>
              <w:rPr>
                <w:rFonts w:ascii="宋体" w:hAnsi="宋体"/>
                <w:sz w:val="24"/>
                <w:lang w:bidi="en-US"/>
              </w:rPr>
            </w:pPr>
            <w:bookmarkStart w:id="0" w:name="_Hlk43206329"/>
            <w:r>
              <w:rPr>
                <w:rFonts w:hint="eastAsia" w:ascii="宋体" w:hAnsi="宋体"/>
                <w:sz w:val="24"/>
                <w:lang w:bidi="en-US"/>
              </w:rPr>
              <w:t>劳经技能培训平台</w:t>
            </w:r>
            <w:bookmarkEnd w:id="0"/>
          </w:p>
        </w:tc>
        <w:tc>
          <w:tcPr>
            <w:tcW w:w="1410" w:type="pct"/>
          </w:tcPr>
          <w:p>
            <w:pPr>
              <w:spacing w:line="360" w:lineRule="auto"/>
              <w:jc w:val="center"/>
              <w:rPr>
                <w:rFonts w:ascii="宋体" w:hAnsi="宋体"/>
                <w:sz w:val="24"/>
                <w:lang w:bidi="en-US"/>
              </w:rPr>
            </w:pPr>
            <w:r>
              <w:rPr>
                <w:rFonts w:hint="eastAsia" w:ascii="宋体" w:hAnsi="宋体"/>
                <w:sz w:val="24"/>
                <w:lang w:bidi="en-US"/>
              </w:rPr>
              <w:t>二</w:t>
            </w:r>
            <w:r>
              <w:rPr>
                <w:rFonts w:ascii="宋体" w:hAnsi="宋体"/>
                <w:sz w:val="24"/>
                <w:lang w:bidi="en-US"/>
              </w:rPr>
              <w:t>级</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c>
          <w:tcPr>
            <w:tcW w:w="561" w:type="pct"/>
          </w:tcPr>
          <w:p>
            <w:pPr>
              <w:spacing w:line="360" w:lineRule="auto"/>
              <w:jc w:val="center"/>
              <w:rPr>
                <w:rFonts w:ascii="宋体" w:hAnsi="宋体"/>
                <w:sz w:val="24"/>
              </w:rPr>
            </w:pPr>
            <w:r>
              <w:rPr>
                <w:rFonts w:hint="eastAsia" w:ascii="宋体" w:hAnsi="宋体"/>
                <w:sz w:val="24"/>
              </w:rPr>
              <w:t>2</w:t>
            </w:r>
          </w:p>
        </w:tc>
        <w:tc>
          <w:tcPr>
            <w:tcW w:w="3029" w:type="pct"/>
          </w:tcPr>
          <w:p>
            <w:pPr>
              <w:spacing w:line="360" w:lineRule="auto"/>
              <w:jc w:val="center"/>
              <w:rPr>
                <w:rFonts w:ascii="宋体" w:hAnsi="宋体"/>
                <w:sz w:val="24"/>
                <w:lang w:bidi="en-US"/>
              </w:rPr>
            </w:pPr>
            <w:bookmarkStart w:id="1" w:name="_Hlk44242858"/>
            <w:r>
              <w:rPr>
                <w:rFonts w:hint="eastAsia" w:ascii="宋体" w:hAnsi="宋体"/>
                <w:sz w:val="24"/>
                <w:lang w:bidi="en-US"/>
              </w:rPr>
              <w:t>门户网站</w:t>
            </w:r>
            <w:bookmarkEnd w:id="1"/>
          </w:p>
        </w:tc>
        <w:tc>
          <w:tcPr>
            <w:tcW w:w="1410" w:type="pct"/>
          </w:tcPr>
          <w:p>
            <w:pPr>
              <w:spacing w:line="360" w:lineRule="auto"/>
              <w:jc w:val="center"/>
              <w:rPr>
                <w:rFonts w:ascii="宋体" w:hAnsi="宋体"/>
                <w:sz w:val="24"/>
                <w:lang w:bidi="en-US"/>
              </w:rPr>
            </w:pPr>
            <w:r>
              <w:rPr>
                <w:rFonts w:hint="eastAsia" w:ascii="宋体" w:hAnsi="宋体"/>
                <w:sz w:val="24"/>
                <w:lang w:bidi="en-US"/>
              </w:rPr>
              <w:t>二</w:t>
            </w:r>
            <w:r>
              <w:rPr>
                <w:rFonts w:ascii="宋体" w:hAnsi="宋体"/>
                <w:sz w:val="24"/>
                <w:lang w:bidi="en-US"/>
              </w:rPr>
              <w:t>级</w:t>
            </w:r>
          </w:p>
        </w:tc>
      </w:tr>
    </w:tbl>
    <w:p>
      <w:pPr>
        <w:spacing w:line="360" w:lineRule="auto"/>
        <w:ind w:right="240" w:firstLine="420"/>
        <w:rPr>
          <w:rFonts w:ascii="宋体" w:hAnsi="宋体"/>
          <w:sz w:val="24"/>
        </w:rPr>
      </w:pPr>
      <w:r>
        <w:rPr>
          <w:rFonts w:hint="eastAsia" w:ascii="宋体" w:hAnsi="宋体"/>
          <w:sz w:val="24"/>
        </w:rPr>
        <w:t>信息系统需要按照《信息系统安全等级保护测评过程指南》、《信息系统安全等级保护基本要求》、《信息系统安全等级保护测评要求》等相关标准规范进行测评，并根据《信息系统安全等级测评报告模版》出具测评报告。</w:t>
      </w:r>
    </w:p>
    <w:p>
      <w:pPr>
        <w:spacing w:line="360" w:lineRule="auto"/>
        <w:ind w:right="240" w:firstLine="420"/>
        <w:rPr>
          <w:rFonts w:ascii="宋体" w:hAnsi="宋体"/>
          <w:sz w:val="24"/>
        </w:rPr>
      </w:pPr>
      <w:r>
        <w:rPr>
          <w:rFonts w:hint="eastAsia" w:ascii="宋体" w:hAnsi="宋体"/>
          <w:sz w:val="24"/>
        </w:rPr>
        <w:t>在不影响系统业务正常运行的前提下，根据国家标准协</w:t>
      </w:r>
      <w:r>
        <w:rPr>
          <w:rFonts w:ascii="宋体" w:hAnsi="宋体"/>
          <w:sz w:val="24"/>
        </w:rPr>
        <w:t>助</w:t>
      </w:r>
      <w:r>
        <w:rPr>
          <w:rFonts w:hint="eastAsia" w:ascii="宋体" w:hAnsi="宋体"/>
          <w:sz w:val="24"/>
        </w:rPr>
        <w:t>天津劳动经济学校对</w:t>
      </w:r>
      <w:r>
        <w:rPr>
          <w:rFonts w:hint="eastAsia" w:ascii="宋体" w:hAnsi="宋体"/>
          <w:sz w:val="24"/>
          <w:lang w:bidi="en-US"/>
        </w:rPr>
        <w:t>劳经技能培训平台</w:t>
      </w:r>
      <w:r>
        <w:rPr>
          <w:rFonts w:hint="eastAsia" w:ascii="宋体" w:hAnsi="宋体"/>
          <w:sz w:val="24"/>
        </w:rPr>
        <w:t>（</w:t>
      </w:r>
      <w:r>
        <w:rPr>
          <w:rFonts w:hint="eastAsia" w:ascii="宋体" w:hAnsi="宋体"/>
          <w:sz w:val="24"/>
          <w:lang w:bidi="en-US"/>
        </w:rPr>
        <w:t>二</w:t>
      </w:r>
      <w:r>
        <w:rPr>
          <w:rFonts w:ascii="宋体" w:hAnsi="宋体"/>
          <w:sz w:val="24"/>
          <w:lang w:bidi="en-US"/>
        </w:rPr>
        <w:t>级</w:t>
      </w:r>
      <w:r>
        <w:rPr>
          <w:rFonts w:hint="eastAsia" w:ascii="宋体" w:hAnsi="宋体"/>
          <w:sz w:val="24"/>
        </w:rPr>
        <w:t>）、</w:t>
      </w:r>
      <w:r>
        <w:rPr>
          <w:rFonts w:hint="eastAsia" w:ascii="宋体" w:hAnsi="宋体"/>
          <w:sz w:val="24"/>
          <w:lang w:bidi="en-US"/>
        </w:rPr>
        <w:t>门户网站</w:t>
      </w:r>
      <w:r>
        <w:rPr>
          <w:rFonts w:hint="eastAsia" w:ascii="宋体" w:hAnsi="宋体"/>
          <w:sz w:val="24"/>
        </w:rPr>
        <w:t>（</w:t>
      </w:r>
      <w:r>
        <w:rPr>
          <w:rFonts w:hint="eastAsia" w:ascii="宋体" w:hAnsi="宋体"/>
          <w:sz w:val="24"/>
          <w:lang w:bidi="en-US"/>
        </w:rPr>
        <w:t>二</w:t>
      </w:r>
      <w:r>
        <w:rPr>
          <w:rFonts w:ascii="宋体" w:hAnsi="宋体"/>
          <w:sz w:val="24"/>
          <w:lang w:bidi="en-US"/>
        </w:rPr>
        <w:t>级</w:t>
      </w:r>
      <w:r>
        <w:rPr>
          <w:rFonts w:hint="eastAsia" w:ascii="宋体" w:hAnsi="宋体"/>
          <w:sz w:val="24"/>
        </w:rPr>
        <w:t>）进行等级保护测评，根据《信息系统安全等级保护测评过程指南》编写项目计划书，编写针对各系统的等级保护测评方案、测评指导书等，编写各种测评调查表单，编写测评结果汇总表，根据《信息系统安全等级测评报告模版》出具测评报告。</w:t>
      </w:r>
    </w:p>
    <w:p>
      <w:pPr>
        <w:keepNext/>
        <w:keepLines/>
        <w:numPr>
          <w:ilvl w:val="0"/>
          <w:numId w:val="2"/>
        </w:numPr>
        <w:tabs>
          <w:tab w:val="clear" w:pos="420"/>
        </w:tabs>
        <w:spacing w:before="260" w:after="260" w:line="416" w:lineRule="auto"/>
        <w:ind w:left="0" w:firstLine="0"/>
        <w:outlineLvl w:val="1"/>
        <w:rPr>
          <w:rFonts w:ascii="宋体" w:hAnsi="宋体" w:cstheme="majorBidi"/>
          <w:b/>
          <w:bCs/>
          <w:sz w:val="32"/>
          <w:szCs w:val="32"/>
        </w:rPr>
      </w:pPr>
      <w:r>
        <w:rPr>
          <w:rFonts w:hint="eastAsia" w:ascii="宋体" w:hAnsi="宋体" w:cstheme="majorBidi"/>
          <w:b/>
          <w:bCs/>
          <w:sz w:val="32"/>
          <w:szCs w:val="32"/>
        </w:rPr>
        <w:t>项目预算及服务期限</w:t>
      </w:r>
    </w:p>
    <w:p>
      <w:pPr>
        <w:spacing w:line="360" w:lineRule="auto"/>
        <w:ind w:right="240" w:firstLine="480" w:firstLineChars="200"/>
        <w:rPr>
          <w:rFonts w:ascii="宋体" w:hAnsi="宋体"/>
          <w:sz w:val="24"/>
        </w:rPr>
      </w:pPr>
      <w:r>
        <w:rPr>
          <w:rFonts w:hint="eastAsia" w:ascii="宋体" w:hAnsi="宋体"/>
          <w:sz w:val="24"/>
        </w:rPr>
        <w:t>本项目预算</w:t>
      </w:r>
      <w:r>
        <w:rPr>
          <w:rFonts w:hint="eastAsia" w:ascii="宋体" w:hAnsi="宋体"/>
          <w:sz w:val="24"/>
          <w:lang w:val="en-US" w:eastAsia="zh-CN"/>
        </w:rPr>
        <w:t>9.9</w:t>
      </w:r>
      <w:r>
        <w:rPr>
          <w:rFonts w:hint="eastAsia" w:ascii="宋体" w:hAnsi="宋体"/>
          <w:sz w:val="24"/>
        </w:rPr>
        <w:t>万元。服务期为投标人</w:t>
      </w:r>
      <w:bookmarkStart w:id="2" w:name="_GoBack"/>
      <w:bookmarkEnd w:id="2"/>
      <w:r>
        <w:rPr>
          <w:rFonts w:hint="eastAsia" w:ascii="宋体" w:hAnsi="宋体"/>
          <w:sz w:val="24"/>
        </w:rPr>
        <w:t>中标，签订合同之日起一年内。</w:t>
      </w:r>
    </w:p>
    <w:p>
      <w:pPr>
        <w:spacing w:line="360" w:lineRule="auto"/>
        <w:ind w:right="240"/>
        <w:rPr>
          <w:rFonts w:ascii="宋体" w:hAnsi="宋体"/>
          <w:sz w:val="24"/>
        </w:rPr>
      </w:pPr>
    </w:p>
    <w:p>
      <w:pPr>
        <w:pStyle w:val="4"/>
        <w:ind w:left="1694" w:hanging="1484"/>
        <w:rPr>
          <w:sz w:val="32"/>
          <w:szCs w:val="32"/>
        </w:rPr>
      </w:pPr>
      <w:r>
        <w:rPr>
          <w:rFonts w:hint="eastAsia"/>
          <w:sz w:val="32"/>
          <w:szCs w:val="32"/>
        </w:rPr>
        <w:t>四、商务需求</w:t>
      </w:r>
    </w:p>
    <w:tbl>
      <w:tblPr>
        <w:tblStyle w:val="18"/>
        <w:tblW w:w="503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3"/>
        <w:gridCol w:w="1567"/>
        <w:gridCol w:w="4914"/>
        <w:gridCol w:w="12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473" w:type="pct"/>
            <w:vAlign w:val="center"/>
          </w:tcPr>
          <w:p>
            <w:pPr>
              <w:widowControl/>
              <w:spacing w:line="360" w:lineRule="auto"/>
              <w:jc w:val="center"/>
              <w:rPr>
                <w:rFonts w:ascii="宋体" w:hAnsi="宋体" w:cs="宋体"/>
                <w:kern w:val="0"/>
                <w:sz w:val="24"/>
              </w:rPr>
            </w:pPr>
            <w:r>
              <w:rPr>
                <w:rFonts w:ascii="宋体" w:hAnsi="宋体" w:cs="宋体"/>
                <w:kern w:val="0"/>
                <w:sz w:val="24"/>
              </w:rPr>
              <w:t>序号</w:t>
            </w:r>
          </w:p>
        </w:tc>
        <w:tc>
          <w:tcPr>
            <w:tcW w:w="913" w:type="pct"/>
            <w:vAlign w:val="center"/>
          </w:tcPr>
          <w:p>
            <w:pPr>
              <w:widowControl/>
              <w:spacing w:line="360" w:lineRule="auto"/>
              <w:jc w:val="center"/>
              <w:rPr>
                <w:rFonts w:ascii="宋体" w:hAnsi="宋体" w:cs="宋体"/>
                <w:kern w:val="0"/>
                <w:sz w:val="24"/>
              </w:rPr>
            </w:pPr>
            <w:r>
              <w:rPr>
                <w:rFonts w:ascii="宋体" w:hAnsi="宋体" w:cs="宋体"/>
                <w:kern w:val="0"/>
                <w:sz w:val="24"/>
              </w:rPr>
              <w:t>需求条款</w:t>
            </w:r>
          </w:p>
        </w:tc>
        <w:tc>
          <w:tcPr>
            <w:tcW w:w="2862" w:type="pct"/>
            <w:vAlign w:val="center"/>
          </w:tcPr>
          <w:p>
            <w:pPr>
              <w:widowControl/>
              <w:spacing w:line="360" w:lineRule="auto"/>
              <w:jc w:val="center"/>
              <w:rPr>
                <w:rFonts w:ascii="宋体" w:hAnsi="宋体" w:cs="宋体"/>
                <w:kern w:val="0"/>
                <w:sz w:val="24"/>
              </w:rPr>
            </w:pPr>
            <w:r>
              <w:rPr>
                <w:rFonts w:ascii="宋体" w:hAnsi="宋体" w:cs="宋体"/>
                <w:kern w:val="0"/>
                <w:sz w:val="24"/>
              </w:rPr>
              <w:t>具体要求</w:t>
            </w:r>
          </w:p>
        </w:tc>
        <w:tc>
          <w:tcPr>
            <w:tcW w:w="750" w:type="pct"/>
            <w:vAlign w:val="center"/>
          </w:tcPr>
          <w:p>
            <w:pPr>
              <w:widowControl/>
              <w:spacing w:line="360" w:lineRule="auto"/>
              <w:jc w:val="center"/>
              <w:rPr>
                <w:rFonts w:ascii="宋体" w:hAnsi="宋体" w:cs="宋体"/>
                <w:kern w:val="0"/>
                <w:sz w:val="24"/>
              </w:rPr>
            </w:pPr>
            <w:r>
              <w:rPr>
                <w:rFonts w:ascii="宋体" w:hAnsi="宋体" w:cs="宋体"/>
                <w:kern w:val="0"/>
                <w:sz w:val="24"/>
              </w:rPr>
              <w:t>是否为实质性条款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473" w:type="pct"/>
            <w:vMerge w:val="restart"/>
            <w:vAlign w:val="center"/>
          </w:tcPr>
          <w:p>
            <w:pPr>
              <w:spacing w:line="360" w:lineRule="auto"/>
              <w:jc w:val="center"/>
              <w:rPr>
                <w:rFonts w:ascii="宋体" w:hAnsi="宋体" w:cs="宋体"/>
                <w:kern w:val="0"/>
                <w:sz w:val="24"/>
              </w:rPr>
            </w:pPr>
            <w:r>
              <w:rPr>
                <w:rFonts w:ascii="宋体" w:hAnsi="宋体" w:cs="宋体"/>
                <w:kern w:val="0"/>
                <w:sz w:val="24"/>
              </w:rPr>
              <w:t>1</w:t>
            </w:r>
          </w:p>
        </w:tc>
        <w:tc>
          <w:tcPr>
            <w:tcW w:w="913" w:type="pct"/>
            <w:vMerge w:val="restart"/>
            <w:vAlign w:val="center"/>
          </w:tcPr>
          <w:p>
            <w:pPr>
              <w:widowControl/>
              <w:spacing w:line="360" w:lineRule="auto"/>
              <w:jc w:val="left"/>
              <w:rPr>
                <w:rFonts w:ascii="宋体" w:hAnsi="宋体" w:cs="宋体"/>
                <w:kern w:val="0"/>
                <w:sz w:val="24"/>
              </w:rPr>
            </w:pPr>
            <w:r>
              <w:rPr>
                <w:rFonts w:ascii="宋体" w:hAnsi="宋体" w:cs="宋体"/>
                <w:sz w:val="24"/>
              </w:rPr>
              <w:t>资格要求</w:t>
            </w:r>
          </w:p>
        </w:tc>
        <w:tc>
          <w:tcPr>
            <w:tcW w:w="2862" w:type="pct"/>
            <w:vAlign w:val="center"/>
          </w:tcPr>
          <w:p>
            <w:pPr>
              <w:pStyle w:val="39"/>
              <w:numPr>
                <w:ilvl w:val="0"/>
                <w:numId w:val="3"/>
              </w:numPr>
              <w:spacing w:line="360" w:lineRule="auto"/>
              <w:ind w:left="210" w:right="210" w:firstLine="480"/>
              <w:rPr>
                <w:rFonts w:ascii="宋体" w:hAnsi="宋体" w:eastAsia="宋体" w:cs="宋体"/>
                <w:color w:val="auto"/>
              </w:rPr>
            </w:pPr>
            <w:r>
              <w:t>公安部第三研究所颁发的网络安全等级测评与检测评估机构服务认证证书</w:t>
            </w:r>
            <w:r>
              <w:rPr>
                <w:rFonts w:ascii="宋体" w:hAnsi="宋体"/>
              </w:rPr>
              <w:t>。</w:t>
            </w:r>
          </w:p>
        </w:tc>
        <w:tc>
          <w:tcPr>
            <w:tcW w:w="750" w:type="pct"/>
          </w:tcPr>
          <w:p>
            <w:pPr>
              <w:widowControl/>
              <w:spacing w:line="360" w:lineRule="auto"/>
              <w:jc w:val="center"/>
              <w:rPr>
                <w:rFonts w:ascii="宋体" w:hAnsi="宋体" w:cs="宋体"/>
                <w:kern w:val="0"/>
                <w:sz w:val="24"/>
              </w:rPr>
            </w:pPr>
            <w:r>
              <w:rPr>
                <w:rFonts w:ascii="宋体" w:hAnsi="宋体" w:cs="宋体"/>
                <w:kern w:val="0"/>
                <w:sz w:val="24"/>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473" w:type="pct"/>
            <w:vMerge w:val="continue"/>
            <w:vAlign w:val="center"/>
          </w:tcPr>
          <w:p>
            <w:pPr>
              <w:spacing w:line="360" w:lineRule="auto"/>
              <w:jc w:val="center"/>
              <w:rPr>
                <w:rFonts w:ascii="宋体" w:hAnsi="宋体" w:cs="宋体"/>
                <w:kern w:val="0"/>
                <w:sz w:val="24"/>
              </w:rPr>
            </w:pPr>
          </w:p>
        </w:tc>
        <w:tc>
          <w:tcPr>
            <w:tcW w:w="913" w:type="pct"/>
            <w:vMerge w:val="continue"/>
            <w:vAlign w:val="center"/>
          </w:tcPr>
          <w:p>
            <w:pPr>
              <w:widowControl/>
              <w:spacing w:line="360" w:lineRule="auto"/>
              <w:jc w:val="left"/>
              <w:rPr>
                <w:rFonts w:ascii="宋体" w:hAnsi="宋体" w:cs="宋体"/>
                <w:sz w:val="24"/>
              </w:rPr>
            </w:pPr>
          </w:p>
        </w:tc>
        <w:tc>
          <w:tcPr>
            <w:tcW w:w="2862" w:type="pct"/>
            <w:vAlign w:val="center"/>
          </w:tcPr>
          <w:p>
            <w:pPr>
              <w:pStyle w:val="39"/>
              <w:numPr>
                <w:ilvl w:val="0"/>
                <w:numId w:val="3"/>
              </w:numPr>
              <w:spacing w:line="360" w:lineRule="auto"/>
              <w:ind w:left="210" w:right="210" w:firstLine="480"/>
              <w:rPr>
                <w:rFonts w:ascii="宋体" w:hAnsi="宋体"/>
              </w:rPr>
            </w:pPr>
            <w:r>
              <w:rPr>
                <w:rFonts w:ascii="宋体" w:hAnsi="宋体"/>
              </w:rPr>
              <w:t>供应商应具</w:t>
            </w:r>
            <w:r>
              <w:rPr>
                <w:rFonts w:hint="eastAsia" w:ascii="宋体" w:hAnsi="宋体"/>
              </w:rPr>
              <w:t>备</w:t>
            </w:r>
            <w:r>
              <w:rPr>
                <w:rFonts w:ascii="宋体" w:hAnsi="宋体"/>
              </w:rPr>
              <w:t>中国信息安全测评中心颁发的国家信息安全测评信息安全服务资质证书。</w:t>
            </w:r>
          </w:p>
        </w:tc>
        <w:tc>
          <w:tcPr>
            <w:tcW w:w="750" w:type="pct"/>
          </w:tcPr>
          <w:p>
            <w:pPr>
              <w:widowControl/>
              <w:spacing w:line="360" w:lineRule="auto"/>
              <w:jc w:val="center"/>
              <w:rPr>
                <w:rFonts w:ascii="宋体" w:hAnsi="宋体" w:cs="宋体"/>
                <w:kern w:val="0"/>
                <w:sz w:val="24"/>
              </w:rPr>
            </w:pPr>
            <w:r>
              <w:rPr>
                <w:rFonts w:ascii="宋体" w:hAnsi="宋体" w:cs="宋体"/>
                <w:kern w:val="0"/>
                <w:sz w:val="24"/>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473" w:type="pct"/>
            <w:vMerge w:val="continue"/>
            <w:vAlign w:val="center"/>
          </w:tcPr>
          <w:p>
            <w:pPr>
              <w:spacing w:line="360" w:lineRule="auto"/>
              <w:jc w:val="center"/>
              <w:rPr>
                <w:rFonts w:ascii="宋体" w:hAnsi="宋体" w:cs="宋体"/>
                <w:kern w:val="0"/>
                <w:sz w:val="24"/>
              </w:rPr>
            </w:pPr>
          </w:p>
        </w:tc>
        <w:tc>
          <w:tcPr>
            <w:tcW w:w="913" w:type="pct"/>
            <w:vMerge w:val="continue"/>
            <w:vAlign w:val="center"/>
          </w:tcPr>
          <w:p>
            <w:pPr>
              <w:widowControl/>
              <w:spacing w:line="360" w:lineRule="auto"/>
              <w:jc w:val="left"/>
              <w:rPr>
                <w:rFonts w:ascii="宋体" w:hAnsi="宋体" w:cs="宋体"/>
                <w:sz w:val="24"/>
              </w:rPr>
            </w:pPr>
          </w:p>
        </w:tc>
        <w:tc>
          <w:tcPr>
            <w:tcW w:w="2862" w:type="pct"/>
            <w:vAlign w:val="center"/>
          </w:tcPr>
          <w:p>
            <w:pPr>
              <w:pStyle w:val="39"/>
              <w:numPr>
                <w:ilvl w:val="0"/>
                <w:numId w:val="3"/>
              </w:numPr>
              <w:spacing w:line="360" w:lineRule="auto"/>
              <w:ind w:left="210" w:right="210" w:firstLine="480"/>
              <w:rPr>
                <w:rFonts w:ascii="宋体" w:hAnsi="宋体"/>
              </w:rPr>
            </w:pPr>
            <w:r>
              <w:rPr>
                <w:rFonts w:ascii="宋体" w:hAnsi="宋体"/>
                <w:bCs/>
              </w:rPr>
              <w:t>供应商应具备</w:t>
            </w:r>
            <w:r>
              <w:t>投标人具备质量管理体系认证、环境管理体系认证、职业健康安全管理体系认证、高新技术企业证书。</w:t>
            </w:r>
          </w:p>
        </w:tc>
        <w:tc>
          <w:tcPr>
            <w:tcW w:w="750" w:type="pct"/>
          </w:tcPr>
          <w:p>
            <w:pPr>
              <w:widowControl/>
              <w:spacing w:line="360" w:lineRule="auto"/>
              <w:jc w:val="center"/>
              <w:rPr>
                <w:rFonts w:ascii="宋体" w:hAnsi="宋体" w:cs="宋体"/>
                <w:kern w:val="0"/>
                <w:sz w:val="24"/>
              </w:rPr>
            </w:pPr>
            <w:r>
              <w:rPr>
                <w:rFonts w:ascii="宋体" w:hAnsi="宋体" w:cs="宋体"/>
                <w:kern w:val="0"/>
                <w:sz w:val="24"/>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8" w:hRule="atLeast"/>
          <w:jc w:val="center"/>
        </w:trPr>
        <w:tc>
          <w:tcPr>
            <w:tcW w:w="473" w:type="pct"/>
            <w:vMerge w:val="continue"/>
            <w:vAlign w:val="center"/>
          </w:tcPr>
          <w:p>
            <w:pPr>
              <w:spacing w:line="360" w:lineRule="auto"/>
              <w:jc w:val="center"/>
              <w:rPr>
                <w:rFonts w:ascii="宋体" w:hAnsi="宋体" w:cs="宋体"/>
                <w:kern w:val="0"/>
                <w:sz w:val="24"/>
              </w:rPr>
            </w:pPr>
          </w:p>
        </w:tc>
        <w:tc>
          <w:tcPr>
            <w:tcW w:w="913" w:type="pct"/>
            <w:vMerge w:val="continue"/>
            <w:vAlign w:val="center"/>
          </w:tcPr>
          <w:p>
            <w:pPr>
              <w:widowControl/>
              <w:spacing w:line="360" w:lineRule="auto"/>
              <w:jc w:val="left"/>
              <w:rPr>
                <w:rFonts w:ascii="宋体" w:hAnsi="宋体" w:cs="宋体"/>
                <w:sz w:val="24"/>
              </w:rPr>
            </w:pPr>
          </w:p>
        </w:tc>
        <w:tc>
          <w:tcPr>
            <w:tcW w:w="2862" w:type="pct"/>
            <w:vAlign w:val="center"/>
          </w:tcPr>
          <w:p>
            <w:pPr>
              <w:pStyle w:val="39"/>
              <w:numPr>
                <w:ilvl w:val="0"/>
                <w:numId w:val="3"/>
              </w:numPr>
              <w:spacing w:line="360" w:lineRule="auto"/>
              <w:ind w:left="210" w:right="210" w:firstLine="480"/>
              <w:rPr>
                <w:rFonts w:ascii="宋体" w:hAnsi="宋体" w:cs="宋体"/>
              </w:rPr>
            </w:pPr>
            <w:r>
              <w:rPr>
                <w:rFonts w:ascii="宋体" w:hAnsi="宋体"/>
              </w:rPr>
              <w:t>供应商应提供营业执照副本。</w:t>
            </w:r>
          </w:p>
        </w:tc>
        <w:tc>
          <w:tcPr>
            <w:tcW w:w="750" w:type="pct"/>
            <w:vAlign w:val="center"/>
          </w:tcPr>
          <w:p>
            <w:pPr>
              <w:spacing w:line="360" w:lineRule="auto"/>
              <w:ind w:left="240" w:right="210" w:rightChars="100"/>
              <w:jc w:val="center"/>
              <w:rPr>
                <w:rFonts w:ascii="宋体" w:hAnsi="宋体"/>
                <w:sz w:val="24"/>
              </w:rPr>
            </w:pPr>
            <w:r>
              <w:rPr>
                <w:rFonts w:ascii="宋体" w:hAnsi="宋体" w:cs="宋体"/>
                <w:color w:val="000000"/>
                <w:kern w:val="0"/>
                <w:sz w:val="24"/>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473" w:type="pct"/>
            <w:vMerge w:val="continue"/>
            <w:shd w:val="clear" w:color="auto" w:fill="auto"/>
            <w:vAlign w:val="center"/>
          </w:tcPr>
          <w:p>
            <w:pPr>
              <w:spacing w:line="360" w:lineRule="auto"/>
              <w:jc w:val="center"/>
              <w:rPr>
                <w:rFonts w:ascii="宋体" w:hAnsi="宋体" w:cs="宋体"/>
                <w:kern w:val="0"/>
                <w:sz w:val="24"/>
              </w:rPr>
            </w:pPr>
          </w:p>
        </w:tc>
        <w:tc>
          <w:tcPr>
            <w:tcW w:w="913" w:type="pct"/>
            <w:vMerge w:val="continue"/>
            <w:shd w:val="clear" w:color="auto" w:fill="auto"/>
            <w:vAlign w:val="center"/>
          </w:tcPr>
          <w:p>
            <w:pPr>
              <w:widowControl/>
              <w:spacing w:line="360" w:lineRule="auto"/>
              <w:jc w:val="left"/>
              <w:rPr>
                <w:rFonts w:ascii="宋体" w:hAnsi="宋体" w:cs="宋体"/>
                <w:kern w:val="0"/>
                <w:sz w:val="24"/>
              </w:rPr>
            </w:pPr>
          </w:p>
        </w:tc>
        <w:tc>
          <w:tcPr>
            <w:tcW w:w="2862" w:type="pct"/>
            <w:shd w:val="clear" w:color="auto" w:fill="FFFFFF"/>
            <w:vAlign w:val="center"/>
          </w:tcPr>
          <w:p>
            <w:pPr>
              <w:pStyle w:val="39"/>
              <w:numPr>
                <w:ilvl w:val="0"/>
                <w:numId w:val="3"/>
              </w:numPr>
              <w:spacing w:line="360" w:lineRule="auto"/>
              <w:ind w:left="210" w:right="210" w:firstLine="480"/>
              <w:rPr>
                <w:rFonts w:ascii="宋体" w:hAnsi="宋体"/>
              </w:rPr>
            </w:pPr>
            <w:r>
              <w:rPr>
                <w:rFonts w:ascii="宋体" w:hAnsi="宋体"/>
              </w:rPr>
              <w:t>供应商必须具有依法缴纳税收和社会保障款项的良好记录；（提供</w:t>
            </w:r>
            <w:r>
              <w:rPr>
                <w:rFonts w:ascii="Times New Roman" w:hAnsi="Times New Roman" w:eastAsia="宋体" w:cs="Times New Roman"/>
                <w:color w:val="auto"/>
              </w:rPr>
              <w:t>202</w:t>
            </w:r>
            <w:r>
              <w:rPr>
                <w:rFonts w:hint="eastAsia" w:ascii="Times New Roman" w:hAnsi="Times New Roman" w:eastAsia="宋体" w:cs="Times New Roman"/>
                <w:color w:val="auto"/>
              </w:rPr>
              <w:t>2</w:t>
            </w:r>
            <w:r>
              <w:rPr>
                <w:rFonts w:ascii="Times New Roman" w:hAnsi="Times New Roman" w:eastAsia="宋体" w:cs="Times New Roman"/>
                <w:color w:val="auto"/>
              </w:rPr>
              <w:t>年度至少1个月的依法缴纳税收和社会保险费的相关证明材料扫描件</w:t>
            </w:r>
            <w:r>
              <w:rPr>
                <w:rFonts w:ascii="宋体" w:hAnsi="宋体"/>
              </w:rPr>
              <w:t>，加盖公章）</w:t>
            </w:r>
          </w:p>
        </w:tc>
        <w:tc>
          <w:tcPr>
            <w:tcW w:w="750" w:type="pct"/>
            <w:shd w:val="clear" w:color="auto" w:fill="FFFFFF"/>
            <w:vAlign w:val="center"/>
          </w:tcPr>
          <w:p>
            <w:pPr>
              <w:spacing w:line="360" w:lineRule="auto"/>
              <w:ind w:left="240" w:right="210" w:rightChars="100"/>
              <w:jc w:val="center"/>
              <w:rPr>
                <w:rFonts w:ascii="宋体" w:hAnsi="宋体"/>
                <w:sz w:val="24"/>
              </w:rPr>
            </w:pPr>
            <w:r>
              <w:rPr>
                <w:rFonts w:ascii="宋体" w:hAnsi="宋体" w:cs="宋体"/>
                <w:color w:val="000000"/>
                <w:kern w:val="0"/>
                <w:sz w:val="24"/>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1" w:hRule="atLeast"/>
          <w:jc w:val="center"/>
        </w:trPr>
        <w:tc>
          <w:tcPr>
            <w:tcW w:w="473" w:type="pct"/>
            <w:shd w:val="clear" w:color="auto" w:fill="auto"/>
            <w:vAlign w:val="center"/>
          </w:tcPr>
          <w:p>
            <w:pPr>
              <w:spacing w:line="360" w:lineRule="auto"/>
              <w:jc w:val="center"/>
              <w:rPr>
                <w:rFonts w:ascii="宋体" w:hAnsi="宋体" w:cs="宋体"/>
                <w:kern w:val="0"/>
                <w:sz w:val="24"/>
              </w:rPr>
            </w:pPr>
            <w:r>
              <w:rPr>
                <w:rFonts w:ascii="宋体" w:hAnsi="宋体" w:cs="宋体"/>
                <w:kern w:val="0"/>
                <w:sz w:val="24"/>
              </w:rPr>
              <w:t>2</w:t>
            </w:r>
          </w:p>
        </w:tc>
        <w:tc>
          <w:tcPr>
            <w:tcW w:w="913" w:type="pct"/>
            <w:shd w:val="clear" w:color="auto" w:fill="auto"/>
            <w:vAlign w:val="center"/>
          </w:tcPr>
          <w:p>
            <w:pPr>
              <w:spacing w:line="360" w:lineRule="auto"/>
              <w:ind w:right="240"/>
              <w:jc w:val="left"/>
              <w:rPr>
                <w:rFonts w:ascii="宋体" w:hAnsi="宋体" w:cs="宋体"/>
                <w:sz w:val="24"/>
              </w:rPr>
            </w:pPr>
            <w:r>
              <w:rPr>
                <w:rFonts w:ascii="宋体" w:hAnsi="宋体" w:cs="宋体"/>
                <w:sz w:val="24"/>
              </w:rPr>
              <w:t>验收标准</w:t>
            </w:r>
          </w:p>
        </w:tc>
        <w:tc>
          <w:tcPr>
            <w:tcW w:w="2862" w:type="pct"/>
            <w:shd w:val="clear" w:color="auto" w:fill="FFFFFF"/>
            <w:vAlign w:val="center"/>
          </w:tcPr>
          <w:p>
            <w:pPr>
              <w:spacing w:line="360" w:lineRule="auto"/>
              <w:ind w:right="210" w:rightChars="100"/>
              <w:jc w:val="left"/>
              <w:rPr>
                <w:rFonts w:ascii="宋体" w:hAnsi="宋体"/>
                <w:sz w:val="24"/>
              </w:rPr>
            </w:pPr>
            <w:r>
              <w:rPr>
                <w:rFonts w:ascii="宋体" w:hAnsi="宋体"/>
                <w:sz w:val="24"/>
              </w:rPr>
              <w:t xml:space="preserve">在等级保护测评服务完成后必须提交国家规定格式的等级保护测评报告。 </w:t>
            </w:r>
          </w:p>
        </w:tc>
        <w:tc>
          <w:tcPr>
            <w:tcW w:w="750" w:type="pct"/>
            <w:shd w:val="clear" w:color="auto" w:fill="FFFFFF"/>
            <w:vAlign w:val="center"/>
          </w:tcPr>
          <w:p>
            <w:pPr>
              <w:spacing w:line="360" w:lineRule="auto"/>
              <w:ind w:left="240" w:right="210" w:rightChars="100"/>
              <w:jc w:val="center"/>
              <w:rPr>
                <w:rFonts w:ascii="宋体" w:hAnsi="宋体" w:cs="宋体"/>
                <w:sz w:val="24"/>
              </w:rPr>
            </w:pPr>
            <w:r>
              <w:rPr>
                <w:rFonts w:hint="eastAsia" w:ascii="宋体" w:hAnsi="宋体" w:cs="宋体"/>
                <w:sz w:val="24"/>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473" w:type="pct"/>
            <w:shd w:val="clear" w:color="auto" w:fill="auto"/>
            <w:vAlign w:val="center"/>
          </w:tcPr>
          <w:p>
            <w:pPr>
              <w:spacing w:line="360" w:lineRule="auto"/>
              <w:jc w:val="center"/>
              <w:rPr>
                <w:rFonts w:ascii="宋体" w:hAnsi="宋体" w:cs="宋体"/>
                <w:kern w:val="0"/>
                <w:sz w:val="24"/>
              </w:rPr>
            </w:pPr>
            <w:r>
              <w:rPr>
                <w:rFonts w:ascii="宋体" w:hAnsi="宋体" w:cs="宋体"/>
                <w:kern w:val="0"/>
                <w:sz w:val="24"/>
              </w:rPr>
              <w:t>3</w:t>
            </w:r>
          </w:p>
        </w:tc>
        <w:tc>
          <w:tcPr>
            <w:tcW w:w="913" w:type="pct"/>
            <w:shd w:val="clear" w:color="auto" w:fill="auto"/>
            <w:vAlign w:val="center"/>
          </w:tcPr>
          <w:p>
            <w:pPr>
              <w:spacing w:line="360" w:lineRule="auto"/>
              <w:ind w:right="210" w:rightChars="100"/>
              <w:jc w:val="left"/>
              <w:rPr>
                <w:rFonts w:ascii="宋体" w:hAnsi="宋体" w:cs="宋体"/>
                <w:sz w:val="24"/>
              </w:rPr>
            </w:pPr>
            <w:r>
              <w:rPr>
                <w:rFonts w:ascii="宋体" w:hAnsi="宋体" w:cs="宋体"/>
                <w:sz w:val="24"/>
              </w:rPr>
              <w:t>报价</w:t>
            </w:r>
          </w:p>
        </w:tc>
        <w:tc>
          <w:tcPr>
            <w:tcW w:w="2862" w:type="pct"/>
            <w:shd w:val="clear" w:color="auto" w:fill="FFFFFF"/>
            <w:vAlign w:val="center"/>
          </w:tcPr>
          <w:p>
            <w:pPr>
              <w:spacing w:line="360" w:lineRule="auto"/>
              <w:ind w:right="210" w:rightChars="100"/>
              <w:jc w:val="left"/>
              <w:rPr>
                <w:rFonts w:ascii="宋体" w:hAnsi="宋体"/>
                <w:sz w:val="24"/>
              </w:rPr>
            </w:pPr>
            <w:r>
              <w:rPr>
                <w:rFonts w:ascii="宋体" w:hAnsi="宋体"/>
                <w:sz w:val="24"/>
              </w:rPr>
              <w:t>供应商必须在报价中根据招标人实际情况列出总体方案价格和对应各项工作的详细报价。</w:t>
            </w:r>
          </w:p>
        </w:tc>
        <w:tc>
          <w:tcPr>
            <w:tcW w:w="750" w:type="pct"/>
            <w:shd w:val="clear" w:color="auto" w:fill="FFFFFF"/>
            <w:vAlign w:val="center"/>
          </w:tcPr>
          <w:p>
            <w:pPr>
              <w:spacing w:line="360" w:lineRule="auto"/>
              <w:ind w:left="240" w:right="210" w:rightChars="100"/>
              <w:jc w:val="center"/>
              <w:rPr>
                <w:rFonts w:ascii="宋体" w:hAnsi="宋体" w:cs="宋体"/>
                <w:sz w:val="24"/>
              </w:rPr>
            </w:pPr>
            <w:r>
              <w:rPr>
                <w:rFonts w:hint="eastAsia" w:ascii="宋体" w:hAnsi="宋体" w:cs="宋体"/>
                <w:sz w:val="24"/>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3" w:hRule="atLeast"/>
          <w:jc w:val="center"/>
        </w:trPr>
        <w:tc>
          <w:tcPr>
            <w:tcW w:w="473" w:type="pct"/>
            <w:shd w:val="clear" w:color="auto" w:fill="auto"/>
            <w:vAlign w:val="center"/>
          </w:tcPr>
          <w:p>
            <w:pPr>
              <w:spacing w:line="360" w:lineRule="auto"/>
              <w:jc w:val="center"/>
              <w:rPr>
                <w:rFonts w:ascii="宋体" w:hAnsi="宋体" w:cs="宋体"/>
                <w:kern w:val="0"/>
                <w:sz w:val="24"/>
              </w:rPr>
            </w:pPr>
            <w:r>
              <w:rPr>
                <w:rFonts w:ascii="宋体" w:hAnsi="宋体" w:cs="宋体"/>
                <w:kern w:val="0"/>
                <w:sz w:val="24"/>
              </w:rPr>
              <w:t>4</w:t>
            </w:r>
          </w:p>
        </w:tc>
        <w:tc>
          <w:tcPr>
            <w:tcW w:w="913" w:type="pct"/>
            <w:shd w:val="clear" w:color="auto" w:fill="auto"/>
            <w:vAlign w:val="center"/>
          </w:tcPr>
          <w:p>
            <w:pPr>
              <w:spacing w:line="360" w:lineRule="auto"/>
              <w:ind w:right="240"/>
              <w:jc w:val="left"/>
              <w:rPr>
                <w:rFonts w:ascii="宋体" w:hAnsi="宋体" w:cs="宋体"/>
                <w:sz w:val="24"/>
              </w:rPr>
            </w:pPr>
            <w:r>
              <w:rPr>
                <w:rFonts w:ascii="宋体" w:hAnsi="宋体" w:cs="宋体"/>
                <w:sz w:val="24"/>
              </w:rPr>
              <w:t>交货时间</w:t>
            </w:r>
          </w:p>
        </w:tc>
        <w:tc>
          <w:tcPr>
            <w:tcW w:w="2862" w:type="pct"/>
            <w:shd w:val="clear" w:color="auto" w:fill="FFFFFF"/>
            <w:vAlign w:val="center"/>
          </w:tcPr>
          <w:p>
            <w:pPr>
              <w:spacing w:line="360" w:lineRule="auto"/>
              <w:ind w:right="210" w:rightChars="100"/>
              <w:jc w:val="left"/>
              <w:rPr>
                <w:rFonts w:ascii="宋体" w:hAnsi="宋体"/>
                <w:sz w:val="24"/>
              </w:rPr>
            </w:pPr>
            <w:r>
              <w:rPr>
                <w:rFonts w:ascii="宋体" w:hAnsi="宋体"/>
                <w:sz w:val="24"/>
              </w:rPr>
              <w:t>交货期：</w:t>
            </w:r>
            <w:r>
              <w:rPr>
                <w:rFonts w:hint="eastAsia" w:ascii="宋体" w:hAnsi="宋体"/>
                <w:sz w:val="24"/>
              </w:rPr>
              <w:t>在2022年12月底前完成</w:t>
            </w:r>
            <w:r>
              <w:rPr>
                <w:rFonts w:ascii="宋体" w:hAnsi="宋体"/>
                <w:sz w:val="24"/>
              </w:rPr>
              <w:t>。</w:t>
            </w:r>
          </w:p>
        </w:tc>
        <w:tc>
          <w:tcPr>
            <w:tcW w:w="750" w:type="pct"/>
            <w:shd w:val="clear" w:color="auto" w:fill="FFFFFF"/>
            <w:vAlign w:val="center"/>
          </w:tcPr>
          <w:p>
            <w:pPr>
              <w:spacing w:line="360" w:lineRule="auto"/>
              <w:ind w:left="240" w:right="210" w:rightChars="100"/>
              <w:jc w:val="center"/>
              <w:rPr>
                <w:rFonts w:ascii="宋体" w:hAnsi="宋体" w:cs="宋体"/>
                <w:sz w:val="24"/>
              </w:rPr>
            </w:pPr>
            <w:r>
              <w:rPr>
                <w:rFonts w:hint="eastAsia" w:ascii="宋体" w:hAnsi="宋体" w:cs="宋体"/>
                <w:sz w:val="24"/>
              </w:rPr>
              <w:t>是</w:t>
            </w:r>
          </w:p>
        </w:tc>
      </w:tr>
    </w:tbl>
    <w:p>
      <w:pPr>
        <w:pStyle w:val="4"/>
        <w:ind w:left="226" w:hanging="16"/>
        <w:rPr>
          <w:sz w:val="32"/>
          <w:szCs w:val="32"/>
        </w:rPr>
      </w:pPr>
      <w:r>
        <w:rPr>
          <w:rFonts w:hint="eastAsia"/>
          <w:sz w:val="32"/>
          <w:szCs w:val="32"/>
        </w:rPr>
        <w:t>五、技术要求</w:t>
      </w:r>
    </w:p>
    <w:p>
      <w:pPr>
        <w:widowControl/>
        <w:spacing w:line="360" w:lineRule="auto"/>
        <w:jc w:val="left"/>
        <w:rPr>
          <w:sz w:val="24"/>
        </w:rPr>
      </w:pPr>
      <w:r>
        <w:rPr>
          <w:rFonts w:hint="eastAsia" w:ascii="宋体" w:hAnsi="宋体" w:cs="宋体"/>
          <w:color w:val="000000"/>
          <w:sz w:val="24"/>
          <w:lang w:val="zh-CN"/>
        </w:rPr>
        <w:t>1.</w:t>
      </w:r>
      <w:r>
        <w:rPr>
          <w:rFonts w:hint="eastAsia"/>
          <w:sz w:val="24"/>
        </w:rPr>
        <w:t>投标人能够把握和理解国家对该类项目的具体要求，对等级保护政策标准：《信息安全技术 网络安全等级保护基本要求》（GB/T22239-2019）、《信息安全技术 网络安全等级保护测评过程指南》（GB/T28449-2018）、《信息安全技术 网络安全等级保护测评要求》（GB/T28448-2019）等内容有较深的认识，以这些</w:t>
      </w:r>
      <w:r>
        <w:rPr>
          <w:rFonts w:hint="eastAsia" w:ascii="宋体" w:hAnsi="宋体" w:cs="宋体"/>
          <w:color w:val="000000"/>
          <w:sz w:val="24"/>
          <w:lang w:val="zh-CN"/>
        </w:rPr>
        <w:t>相关标准规范进行等级保护测评</w:t>
      </w:r>
      <w:r>
        <w:rPr>
          <w:rFonts w:hint="eastAsia"/>
          <w:sz w:val="24"/>
        </w:rPr>
        <w:t>。</w:t>
      </w:r>
    </w:p>
    <w:p>
      <w:pPr>
        <w:spacing w:line="360" w:lineRule="auto"/>
        <w:ind w:left="12" w:hanging="12" w:hangingChars="5"/>
        <w:rPr>
          <w:rFonts w:ascii="宋体" w:hAnsi="宋体" w:cs="宋体"/>
          <w:color w:val="000000"/>
          <w:sz w:val="24"/>
          <w:lang w:val="zh-CN"/>
        </w:rPr>
      </w:pPr>
      <w:r>
        <w:rPr>
          <w:rFonts w:ascii="宋体" w:hAnsi="宋体" w:cs="宋体"/>
          <w:color w:val="000000"/>
          <w:sz w:val="24"/>
          <w:lang w:val="zh-CN"/>
        </w:rPr>
        <w:t>2</w:t>
      </w:r>
      <w:r>
        <w:rPr>
          <w:rFonts w:hint="eastAsia" w:ascii="宋体" w:hAnsi="宋体" w:cs="宋体"/>
          <w:color w:val="000000"/>
          <w:sz w:val="24"/>
          <w:lang w:val="zh-CN"/>
        </w:rPr>
        <w:t>.</w:t>
      </w:r>
      <w:r>
        <w:rPr>
          <w:rFonts w:hint="eastAsia" w:ascii="宋体" w:hAnsi="宋体" w:cs="宋体"/>
          <w:color w:val="000000"/>
          <w:sz w:val="24"/>
        </w:rPr>
        <w:t>供应商</w:t>
      </w:r>
      <w:r>
        <w:rPr>
          <w:rFonts w:hint="eastAsia" w:ascii="宋体" w:hAnsi="宋体" w:cs="宋体"/>
          <w:color w:val="000000"/>
          <w:sz w:val="24"/>
          <w:lang w:val="zh-CN"/>
        </w:rPr>
        <w:t>应具有完善的项目管理经验，包括制定项目汇报的体系、项目问题管理体系等，建立信息安全测评服务质量体系。测评实施的质量要素包括：项目的进度，关键节点的服务成果，最终用户的服务反馈等。</w:t>
      </w:r>
    </w:p>
    <w:p>
      <w:pPr>
        <w:spacing w:line="360" w:lineRule="auto"/>
        <w:ind w:left="12" w:hanging="12" w:hangingChars="5"/>
        <w:rPr>
          <w:rFonts w:ascii="宋体" w:hAnsi="宋体" w:cs="宋体"/>
          <w:color w:val="000000"/>
          <w:sz w:val="24"/>
          <w:lang w:val="zh-CN"/>
        </w:rPr>
      </w:pPr>
      <w:r>
        <w:rPr>
          <w:rFonts w:hint="eastAsia" w:ascii="宋体" w:hAnsi="宋体" w:cs="宋体"/>
          <w:color w:val="000000"/>
          <w:sz w:val="24"/>
          <w:lang w:val="zh-CN"/>
        </w:rPr>
        <w:t>3</w:t>
      </w:r>
      <w:r>
        <w:rPr>
          <w:rFonts w:ascii="宋体" w:hAnsi="宋体" w:cs="宋体"/>
          <w:color w:val="000000"/>
          <w:sz w:val="24"/>
          <w:lang w:val="zh-CN"/>
        </w:rPr>
        <w:t>.</w:t>
      </w:r>
      <w:r>
        <w:rPr>
          <w:rFonts w:hint="eastAsia"/>
        </w:rPr>
        <w:t xml:space="preserve"> </w:t>
      </w:r>
      <w:r>
        <w:rPr>
          <w:rFonts w:hint="eastAsia" w:ascii="宋体" w:hAnsi="宋体" w:cs="宋体"/>
          <w:color w:val="000000"/>
          <w:sz w:val="24"/>
          <w:lang w:val="zh-CN"/>
        </w:rPr>
        <w:t>供应商在现场测评环节过程中不能影响采购人的各项系统正常运行，针对工具测试等环节需要做好相应的应急预案以及操作规范。</w:t>
      </w:r>
    </w:p>
    <w:p>
      <w:pPr>
        <w:spacing w:line="360" w:lineRule="auto"/>
        <w:ind w:left="12" w:hanging="12" w:hangingChars="5"/>
        <w:rPr>
          <w:rFonts w:ascii="宋体" w:hAnsi="宋体" w:cs="宋体"/>
          <w:color w:val="000000"/>
          <w:sz w:val="24"/>
          <w:lang w:val="zh-CN"/>
        </w:rPr>
      </w:pPr>
      <w:r>
        <w:rPr>
          <w:rFonts w:hint="eastAsia" w:ascii="宋体" w:hAnsi="宋体" w:cs="宋体"/>
          <w:color w:val="000000"/>
          <w:sz w:val="24"/>
          <w:lang w:val="zh-CN"/>
        </w:rPr>
        <w:t xml:space="preserve">4.投标人应具有完善的测评方案，包括物理安全、主机安全、网络安全、应用安全、数据备份与恢复，管理安全等。 </w:t>
      </w:r>
    </w:p>
    <w:p>
      <w:pPr>
        <w:spacing w:line="360" w:lineRule="auto"/>
        <w:ind w:left="12" w:hanging="12" w:hangingChars="5"/>
        <w:rPr>
          <w:rFonts w:ascii="宋体" w:hAnsi="宋体" w:cs="宋体"/>
          <w:color w:val="000000"/>
          <w:sz w:val="24"/>
          <w:lang w:val="zh-CN"/>
        </w:rPr>
      </w:pPr>
      <w:r>
        <w:rPr>
          <w:rFonts w:ascii="宋体" w:hAnsi="宋体" w:cs="宋体"/>
          <w:color w:val="000000"/>
          <w:sz w:val="24"/>
          <w:lang w:val="zh-CN"/>
        </w:rPr>
        <w:t>5</w:t>
      </w:r>
      <w:r>
        <w:rPr>
          <w:rFonts w:hint="eastAsia" w:ascii="宋体" w:hAnsi="宋体" w:cs="宋体"/>
          <w:color w:val="000000"/>
          <w:sz w:val="24"/>
          <w:lang w:val="zh-CN"/>
        </w:rPr>
        <w:t>.供应商在等级保护服务完成后必须提交国家规定格式的等级保护测评报告，并以此作为验收标准。</w:t>
      </w:r>
    </w:p>
    <w:p>
      <w:pPr>
        <w:spacing w:line="360" w:lineRule="auto"/>
        <w:ind w:left="12" w:hanging="12" w:hangingChars="5"/>
        <w:rPr>
          <w:rFonts w:ascii="宋体" w:hAnsi="宋体" w:cs="宋体"/>
          <w:color w:val="000000"/>
          <w:sz w:val="24"/>
          <w:lang w:val="zh-CN"/>
        </w:rPr>
      </w:pPr>
      <w:r>
        <w:rPr>
          <w:rFonts w:ascii="宋体" w:hAnsi="宋体" w:cs="宋体"/>
          <w:color w:val="000000"/>
          <w:sz w:val="24"/>
          <w:lang w:val="zh-CN"/>
        </w:rPr>
        <w:t>6</w:t>
      </w:r>
      <w:r>
        <w:rPr>
          <w:rFonts w:hint="eastAsia" w:ascii="宋体" w:hAnsi="宋体" w:cs="宋体"/>
          <w:color w:val="000000"/>
          <w:sz w:val="24"/>
          <w:lang w:val="zh-CN"/>
        </w:rPr>
        <w:t>.在项目实施前，应根据招标人实际情况，编制网络安全等级保护测评方案。</w:t>
      </w:r>
    </w:p>
    <w:p>
      <w:pPr>
        <w:spacing w:line="360" w:lineRule="auto"/>
        <w:ind w:left="12" w:hanging="12" w:hangingChars="5"/>
        <w:rPr>
          <w:rFonts w:ascii="宋体" w:hAnsi="宋体" w:cs="宋体"/>
          <w:color w:val="000000"/>
          <w:sz w:val="24"/>
          <w:lang w:val="zh-CN"/>
        </w:rPr>
      </w:pPr>
      <w:r>
        <w:rPr>
          <w:rFonts w:ascii="宋体" w:hAnsi="宋体" w:cs="宋体"/>
          <w:color w:val="000000"/>
          <w:sz w:val="24"/>
        </w:rPr>
        <w:t>7</w:t>
      </w:r>
      <w:r>
        <w:rPr>
          <w:rFonts w:hint="eastAsia" w:ascii="宋体" w:hAnsi="宋体" w:cs="宋体"/>
          <w:color w:val="000000"/>
          <w:sz w:val="24"/>
        </w:rPr>
        <w:t>.</w:t>
      </w:r>
      <w:r>
        <w:rPr>
          <w:rFonts w:hint="eastAsia" w:ascii="宋体" w:hAnsi="宋体" w:cs="宋体"/>
          <w:color w:val="000000"/>
          <w:sz w:val="24"/>
          <w:lang w:val="zh-CN"/>
        </w:rPr>
        <w:t>供应商应具备在项目实施过程中的风险控制能力，保证招标人系统正常稳定运行，对于系统突发安全事件有应急处置方案，具备国家信息安全测评信息安全服务资质。</w:t>
      </w:r>
    </w:p>
    <w:p>
      <w:pPr>
        <w:spacing w:line="360" w:lineRule="auto"/>
        <w:ind w:left="12" w:hanging="12" w:hangingChars="5"/>
        <w:rPr>
          <w:rFonts w:ascii="宋体" w:hAnsi="宋体" w:cs="宋体"/>
          <w:color w:val="000000"/>
          <w:sz w:val="24"/>
        </w:rPr>
      </w:pPr>
      <w:r>
        <w:rPr>
          <w:rFonts w:ascii="宋体" w:hAnsi="宋体" w:cs="宋体"/>
          <w:color w:val="000000"/>
          <w:sz w:val="24"/>
        </w:rPr>
        <w:t>8</w:t>
      </w:r>
      <w:r>
        <w:rPr>
          <w:rFonts w:hint="eastAsia" w:ascii="宋体" w:hAnsi="宋体" w:cs="宋体"/>
          <w:color w:val="000000"/>
          <w:sz w:val="24"/>
        </w:rPr>
        <w:t>.</w:t>
      </w:r>
      <w:r>
        <w:rPr>
          <w:rFonts w:hint="eastAsia" w:ascii="宋体" w:hAnsi="宋体" w:cs="宋体"/>
          <w:color w:val="000000"/>
          <w:sz w:val="24"/>
          <w:lang w:val="zh-CN"/>
        </w:rPr>
        <w:t>供应商以及组建的测评组需在入场前签署保密协议。</w:t>
      </w:r>
      <w:r>
        <w:rPr>
          <w:rFonts w:hint="eastAsia" w:ascii="宋体" w:hAnsi="宋体" w:cs="宋体"/>
          <w:color w:val="000000"/>
          <w:sz w:val="24"/>
        </w:rPr>
        <w:t>保密期限至少</w:t>
      </w:r>
      <w:r>
        <w:rPr>
          <w:rFonts w:ascii="宋体" w:hAnsi="宋体" w:cs="宋体"/>
          <w:sz w:val="24"/>
        </w:rPr>
        <w:t>5</w:t>
      </w:r>
      <w:r>
        <w:rPr>
          <w:rFonts w:hint="eastAsia" w:ascii="宋体" w:hAnsi="宋体" w:cs="宋体"/>
          <w:color w:val="000000"/>
          <w:sz w:val="24"/>
        </w:rPr>
        <w:t>年。</w:t>
      </w:r>
    </w:p>
    <w:p>
      <w:pPr>
        <w:spacing w:line="360" w:lineRule="auto"/>
        <w:ind w:left="12" w:hanging="12" w:hangingChars="5"/>
        <w:rPr>
          <w:rFonts w:ascii="宋体" w:hAnsi="宋体" w:cs="宋体"/>
          <w:color w:val="000000"/>
          <w:sz w:val="24"/>
          <w:lang w:val="zh-CN"/>
        </w:rPr>
      </w:pPr>
      <w:r>
        <w:rPr>
          <w:rFonts w:ascii="宋体" w:hAnsi="宋体" w:cs="宋体"/>
          <w:color w:val="000000"/>
          <w:sz w:val="24"/>
          <w:lang w:val="zh-CN"/>
        </w:rPr>
        <w:t>9</w:t>
      </w:r>
      <w:r>
        <w:rPr>
          <w:rFonts w:hint="eastAsia" w:ascii="宋体" w:hAnsi="宋体" w:cs="宋体"/>
          <w:color w:val="000000"/>
          <w:sz w:val="24"/>
          <w:lang w:val="zh-CN"/>
        </w:rPr>
        <w:t>.在新重要系统建设、升级改造前需根据国家安全等级保护相关规定和政策法规及技术标准规范提供咨询服务，依据信息系统建设安全规范，提出信息系统的安全需求分析、安全方案设计。</w:t>
      </w:r>
    </w:p>
    <w:p>
      <w:pPr>
        <w:spacing w:line="360" w:lineRule="auto"/>
        <w:rPr>
          <w:rFonts w:hint="eastAsia" w:ascii="宋体" w:hAnsi="宋体" w:cs="宋体"/>
          <w:color w:val="000000"/>
          <w:sz w:val="24"/>
          <w:lang w:val="zh-CN"/>
        </w:rPr>
      </w:pPr>
      <w:r>
        <w:rPr>
          <w:rFonts w:ascii="宋体" w:hAnsi="宋体" w:cs="宋体"/>
          <w:color w:val="000000"/>
          <w:sz w:val="24"/>
        </w:rPr>
        <w:t>10</w:t>
      </w:r>
      <w:r>
        <w:rPr>
          <w:rFonts w:hint="eastAsia" w:ascii="宋体" w:hAnsi="宋体" w:cs="宋体"/>
          <w:color w:val="000000"/>
          <w:sz w:val="24"/>
        </w:rPr>
        <w:t>.供应商</w:t>
      </w:r>
      <w:r>
        <w:rPr>
          <w:rFonts w:hint="eastAsia" w:ascii="宋体" w:hAnsi="宋体" w:cs="宋体"/>
          <w:color w:val="000000"/>
          <w:sz w:val="24"/>
          <w:lang w:val="zh-CN"/>
        </w:rPr>
        <w:t>应为本项目成立</w:t>
      </w:r>
      <w:r>
        <w:rPr>
          <w:rFonts w:hint="eastAsia" w:ascii="宋体" w:hAnsi="宋体" w:cs="宋体"/>
          <w:color w:val="000000"/>
          <w:sz w:val="24"/>
        </w:rPr>
        <w:t>不少于6人的项目组。项目组</w:t>
      </w:r>
      <w:r>
        <w:rPr>
          <w:rFonts w:hint="eastAsia" w:ascii="宋体" w:hAnsi="宋体" w:cs="宋体"/>
          <w:color w:val="000000"/>
          <w:sz w:val="24"/>
          <w:lang w:val="zh-CN"/>
        </w:rPr>
        <w:t>包含项目</w:t>
      </w:r>
      <w:r>
        <w:rPr>
          <w:rFonts w:hint="eastAsia" w:ascii="宋体" w:hAnsi="宋体" w:cs="宋体"/>
          <w:color w:val="000000"/>
          <w:sz w:val="24"/>
        </w:rPr>
        <w:t>组长</w:t>
      </w:r>
      <w:r>
        <w:rPr>
          <w:rFonts w:hint="eastAsia" w:ascii="宋体" w:hAnsi="宋体" w:cs="宋体"/>
          <w:color w:val="000000"/>
          <w:sz w:val="24"/>
          <w:lang w:val="zh-CN"/>
        </w:rPr>
        <w:t>1名、技术人员至少</w:t>
      </w:r>
      <w:r>
        <w:rPr>
          <w:rFonts w:hint="eastAsia" w:ascii="宋体" w:hAnsi="宋体" w:cs="宋体"/>
          <w:color w:val="000000"/>
          <w:sz w:val="24"/>
        </w:rPr>
        <w:t>5</w:t>
      </w:r>
      <w:r>
        <w:rPr>
          <w:rFonts w:hint="eastAsia" w:ascii="宋体" w:hAnsi="宋体" w:cs="宋体"/>
          <w:color w:val="000000"/>
          <w:sz w:val="24"/>
          <w:lang w:val="zh-CN"/>
        </w:rPr>
        <w:t>名,</w:t>
      </w:r>
      <w:r>
        <w:rPr>
          <w:rFonts w:hint="eastAsia" w:ascii="等线" w:hAnsi="等线" w:eastAsia="等线"/>
        </w:rPr>
        <w:t xml:space="preserve"> </w:t>
      </w:r>
      <w:r>
        <w:rPr>
          <w:rFonts w:hint="eastAsia" w:ascii="宋体" w:hAnsi="宋体" w:cs="宋体"/>
          <w:color w:val="000000"/>
          <w:sz w:val="24"/>
        </w:rPr>
        <w:t>其中高级测评师在2人以上（包含2人），中级测评师在2人以上（包含2人）</w:t>
      </w:r>
      <w:r>
        <w:rPr>
          <w:rFonts w:hint="eastAsia" w:ascii="宋体" w:hAnsi="宋体" w:cs="宋体"/>
          <w:color w:val="000000"/>
          <w:sz w:val="24"/>
          <w:lang w:val="zh-CN"/>
        </w:rPr>
        <w:t>。</w:t>
      </w:r>
      <w:r>
        <w:rPr>
          <w:rFonts w:hint="eastAsia" w:ascii="宋体" w:hAnsi="宋体" w:cs="宋体"/>
          <w:color w:val="000000"/>
          <w:sz w:val="24"/>
        </w:rPr>
        <w:t>项目组组长需具备</w:t>
      </w:r>
      <w:r>
        <w:rPr>
          <w:rFonts w:hint="eastAsia" w:ascii="宋体" w:hAnsi="宋体" w:cs="宋体"/>
          <w:color w:val="000000"/>
          <w:sz w:val="24"/>
          <w:lang w:val="zh-CN"/>
        </w:rPr>
        <w:t>网络安全等级测评高级测评师证书和计算机相关专业高级职称证书，技术人员</w:t>
      </w:r>
      <w:r>
        <w:rPr>
          <w:rFonts w:hint="eastAsia" w:ascii="宋体" w:hAnsi="宋体" w:cs="宋体"/>
          <w:color w:val="000000"/>
          <w:sz w:val="24"/>
        </w:rPr>
        <w:t>需具备网络安全等级保护测评师证书和与</w:t>
      </w:r>
      <w:r>
        <w:rPr>
          <w:rFonts w:hint="eastAsia" w:ascii="宋体" w:hAnsi="宋体" w:cs="宋体"/>
          <w:color w:val="000000"/>
          <w:sz w:val="24"/>
          <w:lang w:val="zh-CN"/>
        </w:rPr>
        <w:t>本项目服务内容相关的服务经验。</w:t>
      </w:r>
    </w:p>
    <w:p>
      <w:pPr>
        <w:ind w:firstLine="560"/>
        <w:rPr>
          <w:rFonts w:ascii="仿宋" w:hAnsi="仿宋" w:eastAsia="仿宋" w:cs="仿宋"/>
          <w:sz w:val="24"/>
          <w:szCs w:val="24"/>
        </w:rPr>
      </w:pPr>
    </w:p>
    <w:p>
      <w:pPr>
        <w:pStyle w:val="2"/>
        <w:numPr>
          <w:ilvl w:val="0"/>
          <w:numId w:val="0"/>
        </w:numPr>
        <w:ind w:leftChars="0"/>
        <w:rPr>
          <w:rFonts w:ascii="仿宋" w:hAnsi="仿宋" w:eastAsia="仿宋" w:cs="仿宋"/>
          <w:sz w:val="24"/>
          <w:szCs w:val="24"/>
        </w:rPr>
      </w:pPr>
    </w:p>
    <w:p>
      <w:pPr>
        <w:pStyle w:val="3"/>
        <w:rPr>
          <w:rFonts w:ascii="仿宋" w:hAnsi="仿宋" w:eastAsia="仿宋" w:cs="仿宋"/>
          <w:sz w:val="24"/>
          <w:szCs w:val="24"/>
        </w:rPr>
      </w:pPr>
    </w:p>
    <w:p>
      <w:pPr>
        <w:pStyle w:val="3"/>
        <w:rPr>
          <w:rFonts w:ascii="仿宋" w:hAnsi="仿宋" w:eastAsia="仿宋" w:cs="仿宋"/>
          <w:sz w:val="24"/>
          <w:szCs w:val="24"/>
        </w:rPr>
      </w:pPr>
    </w:p>
    <w:p>
      <w:pPr>
        <w:pStyle w:val="3"/>
        <w:rPr>
          <w:rFonts w:ascii="仿宋" w:hAnsi="仿宋" w:eastAsia="仿宋" w:cs="仿宋"/>
          <w:sz w:val="24"/>
          <w:szCs w:val="24"/>
        </w:rPr>
      </w:pPr>
    </w:p>
    <w:p>
      <w:pPr>
        <w:ind w:firstLine="560"/>
        <w:rPr>
          <w:rFonts w:hint="eastAsia"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六</w:t>
      </w:r>
      <w:r>
        <w:rPr>
          <w:rFonts w:hint="eastAsia" w:ascii="Times New Roman" w:hAnsi="Times New Roman" w:eastAsia="宋体" w:cs="Times New Roman"/>
          <w:b/>
          <w:bCs/>
          <w:kern w:val="44"/>
          <w:sz w:val="32"/>
          <w:szCs w:val="32"/>
          <w:lang w:val="en-US" w:eastAsia="zh-CN" w:bidi="ar-SA"/>
        </w:rPr>
        <w:t>、需要提交的报价材料：</w:t>
      </w:r>
    </w:p>
    <w:p>
      <w:pPr>
        <w:spacing w:line="360" w:lineRule="auto"/>
        <w:rPr>
          <w:rFonts w:hint="eastAsia" w:ascii="宋体" w:hAnsi="宋体" w:cs="宋体"/>
          <w:color w:val="000000"/>
          <w:sz w:val="24"/>
          <w:lang w:val="zh-CN"/>
        </w:rPr>
      </w:pPr>
      <w:r>
        <w:rPr>
          <w:rFonts w:hint="eastAsia" w:ascii="宋体" w:hAnsi="宋体" w:cs="宋体"/>
          <w:color w:val="000000"/>
          <w:sz w:val="24"/>
          <w:lang w:val="zh-CN"/>
        </w:rPr>
        <w:t>1营业执照证书（复印件加盖公章）；</w:t>
      </w:r>
    </w:p>
    <w:p>
      <w:pPr>
        <w:spacing w:line="360" w:lineRule="auto"/>
        <w:rPr>
          <w:rFonts w:hint="eastAsia" w:ascii="宋体" w:hAnsi="宋体" w:cs="宋体"/>
          <w:color w:val="000000"/>
          <w:sz w:val="24"/>
          <w:lang w:val="zh-CN"/>
        </w:rPr>
      </w:pPr>
      <w:r>
        <w:rPr>
          <w:rFonts w:hint="eastAsia" w:ascii="宋体" w:hAnsi="宋体" w:cs="宋体"/>
          <w:color w:val="000000"/>
          <w:sz w:val="24"/>
          <w:lang w:val="zh-CN"/>
        </w:rPr>
        <w:t>2网络安全等级保护测评机构推荐证书（复印件加盖公章）；</w:t>
      </w:r>
    </w:p>
    <w:p>
      <w:pPr>
        <w:spacing w:line="360" w:lineRule="auto"/>
        <w:rPr>
          <w:rFonts w:hint="eastAsia" w:ascii="宋体" w:hAnsi="宋体" w:cs="宋体"/>
          <w:color w:val="000000"/>
          <w:sz w:val="24"/>
          <w:lang w:val="zh-CN"/>
        </w:rPr>
      </w:pPr>
      <w:r>
        <w:rPr>
          <w:rFonts w:hint="eastAsia" w:ascii="宋体" w:hAnsi="宋体" w:cs="宋体"/>
          <w:color w:val="000000"/>
          <w:sz w:val="24"/>
          <w:lang w:val="zh-CN"/>
        </w:rPr>
        <w:t>3网络安全等级保护测评服务报价单加盖公章；</w:t>
      </w:r>
    </w:p>
    <w:p>
      <w:pPr>
        <w:spacing w:line="360" w:lineRule="auto"/>
        <w:rPr>
          <w:rFonts w:hint="eastAsia" w:ascii="宋体" w:hAnsi="宋体" w:cs="宋体"/>
          <w:color w:val="000000"/>
          <w:sz w:val="24"/>
          <w:lang w:val="zh-CN"/>
        </w:rPr>
      </w:pPr>
      <w:r>
        <w:rPr>
          <w:rFonts w:hint="eastAsia" w:ascii="宋体" w:hAnsi="宋体" w:cs="宋体"/>
          <w:color w:val="000000"/>
          <w:sz w:val="24"/>
          <w:lang w:val="zh-CN"/>
        </w:rPr>
        <w:t>4企业以及等级保护测评服务优势。</w:t>
      </w:r>
    </w:p>
    <w:p>
      <w:pPr>
        <w:pStyle w:val="2"/>
        <w:numPr>
          <w:ilvl w:val="0"/>
          <w:numId w:val="0"/>
        </w:numPr>
        <w:ind w:leftChars="0"/>
      </w:pPr>
    </w:p>
    <w:p>
      <w:pPr>
        <w:pStyle w:val="3"/>
        <w:rPr>
          <w:rFonts w:ascii="仿宋" w:hAnsi="仿宋" w:eastAsia="仿宋" w:cs="仿宋"/>
          <w:sz w:val="28"/>
          <w:szCs w:val="28"/>
        </w:rPr>
      </w:pPr>
    </w:p>
    <w:p>
      <w:pPr>
        <w:spacing w:line="360" w:lineRule="auto"/>
        <w:jc w:val="center"/>
        <w:rPr>
          <w:rFonts w:hint="eastAsia" w:ascii="宋体" w:hAnsi="宋体" w:cs="宋体"/>
          <w:color w:val="000000"/>
          <w:sz w:val="24"/>
          <w:lang w:val="zh-CN"/>
        </w:rPr>
      </w:pPr>
    </w:p>
    <w:p>
      <w:pPr>
        <w:spacing w:line="360" w:lineRule="auto"/>
        <w:jc w:val="center"/>
        <w:rPr>
          <w:rFonts w:hint="eastAsia" w:ascii="宋体" w:hAnsi="宋体" w:cs="宋体"/>
          <w:color w:val="000000"/>
          <w:sz w:val="28"/>
          <w:szCs w:val="28"/>
          <w:lang w:val="zh-CN" w:eastAsia="zh-CN"/>
        </w:rPr>
      </w:pPr>
      <w:r>
        <w:rPr>
          <w:rFonts w:hint="eastAsia" w:ascii="宋体" w:hAnsi="宋体" w:cs="宋体"/>
          <w:color w:val="000000"/>
          <w:sz w:val="24"/>
          <w:lang w:val="en-US" w:eastAsia="zh-CN"/>
        </w:rPr>
        <w:t xml:space="preserve">                                   </w:t>
      </w:r>
      <w:r>
        <w:rPr>
          <w:rFonts w:hint="eastAsia" w:ascii="宋体" w:hAnsi="宋体" w:cs="宋体"/>
          <w:color w:val="000000"/>
          <w:sz w:val="28"/>
          <w:szCs w:val="28"/>
          <w:lang w:val="zh-CN"/>
        </w:rPr>
        <w:t>采购人：</w:t>
      </w:r>
      <w:r>
        <w:rPr>
          <w:rFonts w:hint="eastAsia" w:ascii="宋体" w:hAnsi="宋体" w:cs="宋体"/>
          <w:color w:val="000000"/>
          <w:sz w:val="28"/>
          <w:szCs w:val="28"/>
          <w:lang w:val="zh-CN" w:eastAsia="zh-CN"/>
        </w:rPr>
        <w:t>天津劳动经济学校</w:t>
      </w:r>
    </w:p>
    <w:p>
      <w:pPr>
        <w:spacing w:line="360" w:lineRule="auto"/>
        <w:jc w:val="right"/>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 xml:space="preserve">  </w:t>
      </w:r>
      <w:r>
        <w:rPr>
          <w:rFonts w:hint="eastAsia" w:ascii="宋体" w:hAnsi="宋体" w:cs="宋体"/>
          <w:color w:val="000000"/>
          <w:sz w:val="28"/>
          <w:szCs w:val="28"/>
          <w:lang w:val="zh-CN"/>
        </w:rPr>
        <w:t>地址：天津市西青区青沙路</w:t>
      </w:r>
      <w:r>
        <w:rPr>
          <w:rFonts w:hint="eastAsia" w:ascii="宋体" w:hAnsi="宋体" w:cs="宋体"/>
          <w:color w:val="000000"/>
          <w:sz w:val="28"/>
          <w:szCs w:val="28"/>
          <w:lang w:val="en-US" w:eastAsia="zh-CN"/>
        </w:rPr>
        <w:t>6号</w:t>
      </w:r>
    </w:p>
    <w:p>
      <w:pPr>
        <w:spacing w:line="360" w:lineRule="auto"/>
        <w:jc w:val="center"/>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 xml:space="preserve">                           </w:t>
      </w:r>
      <w:r>
        <w:rPr>
          <w:rFonts w:hint="eastAsia" w:ascii="宋体" w:hAnsi="宋体" w:cs="宋体"/>
          <w:color w:val="000000"/>
          <w:sz w:val="28"/>
          <w:szCs w:val="28"/>
          <w:lang w:val="zh-CN"/>
        </w:rPr>
        <w:t>联系人：</w:t>
      </w:r>
      <w:r>
        <w:rPr>
          <w:rFonts w:hint="eastAsia" w:ascii="宋体" w:hAnsi="宋体" w:cs="宋体"/>
          <w:color w:val="000000"/>
          <w:sz w:val="28"/>
          <w:szCs w:val="28"/>
          <w:lang w:val="en-US" w:eastAsia="zh-CN"/>
        </w:rPr>
        <w:t>王瑞锋</w:t>
      </w:r>
    </w:p>
    <w:p>
      <w:pPr>
        <w:spacing w:line="360" w:lineRule="auto"/>
        <w:jc w:val="center"/>
        <w:rPr>
          <w:rFonts w:hint="default" w:ascii="宋体" w:hAnsi="宋体" w:cs="宋体"/>
          <w:color w:val="000000"/>
          <w:sz w:val="28"/>
          <w:szCs w:val="28"/>
          <w:lang w:val="en-US"/>
        </w:rPr>
      </w:pPr>
      <w:r>
        <w:rPr>
          <w:rFonts w:hint="eastAsia" w:ascii="宋体" w:hAnsi="宋体" w:cs="宋体"/>
          <w:color w:val="000000"/>
          <w:sz w:val="28"/>
          <w:szCs w:val="28"/>
          <w:lang w:val="en-US" w:eastAsia="zh-CN"/>
        </w:rPr>
        <w:t xml:space="preserve">                             </w:t>
      </w:r>
      <w:r>
        <w:rPr>
          <w:rFonts w:hint="eastAsia" w:ascii="宋体" w:hAnsi="宋体" w:cs="宋体"/>
          <w:color w:val="000000"/>
          <w:sz w:val="28"/>
          <w:szCs w:val="28"/>
          <w:lang w:val="zh-CN"/>
        </w:rPr>
        <w:t>联系电话：</w:t>
      </w:r>
      <w:r>
        <w:rPr>
          <w:rFonts w:hint="eastAsia" w:ascii="宋体" w:hAnsi="宋体" w:cs="宋体"/>
          <w:color w:val="000000"/>
          <w:sz w:val="28"/>
          <w:szCs w:val="28"/>
          <w:lang w:val="en-US" w:eastAsia="zh-CN"/>
        </w:rPr>
        <w:t>13132199210</w:t>
      </w:r>
    </w:p>
    <w:p>
      <w:pPr>
        <w:spacing w:line="360" w:lineRule="auto"/>
        <w:jc w:val="center"/>
        <w:rPr>
          <w:rFonts w:hint="eastAsia" w:ascii="宋体" w:hAnsi="宋体" w:cs="宋体"/>
          <w:color w:val="000000"/>
          <w:sz w:val="24"/>
          <w:lang w:val="zh-CN"/>
        </w:rPr>
      </w:pPr>
      <w:r>
        <w:rPr>
          <w:rFonts w:hint="eastAsia" w:ascii="宋体" w:hAnsi="宋体" w:cs="宋体"/>
          <w:color w:val="000000"/>
          <w:sz w:val="28"/>
          <w:szCs w:val="28"/>
          <w:lang w:val="en-US" w:eastAsia="zh-CN"/>
        </w:rPr>
        <w:t xml:space="preserve">                             </w:t>
      </w:r>
      <w:r>
        <w:rPr>
          <w:rFonts w:hint="eastAsia" w:ascii="宋体" w:hAnsi="宋体" w:cs="宋体"/>
          <w:color w:val="000000"/>
          <w:sz w:val="28"/>
          <w:szCs w:val="28"/>
          <w:lang w:val="zh-CN"/>
        </w:rPr>
        <w:t>202</w:t>
      </w:r>
      <w:r>
        <w:rPr>
          <w:rFonts w:hint="eastAsia" w:ascii="宋体" w:hAnsi="宋体" w:cs="宋体"/>
          <w:color w:val="000000"/>
          <w:sz w:val="28"/>
          <w:szCs w:val="28"/>
          <w:lang w:val="en-US" w:eastAsia="zh-CN"/>
        </w:rPr>
        <w:t>2</w:t>
      </w:r>
      <w:r>
        <w:rPr>
          <w:rFonts w:hint="eastAsia" w:ascii="宋体" w:hAnsi="宋体" w:cs="宋体"/>
          <w:color w:val="000000"/>
          <w:sz w:val="28"/>
          <w:szCs w:val="28"/>
          <w:lang w:val="zh-CN"/>
        </w:rPr>
        <w:t>年</w:t>
      </w:r>
      <w:r>
        <w:rPr>
          <w:rFonts w:hint="eastAsia" w:ascii="宋体" w:hAnsi="宋体" w:cs="宋体"/>
          <w:color w:val="000000"/>
          <w:sz w:val="28"/>
          <w:szCs w:val="28"/>
          <w:lang w:val="en-US" w:eastAsia="zh-CN"/>
        </w:rPr>
        <w:t>10</w:t>
      </w:r>
      <w:r>
        <w:rPr>
          <w:rFonts w:hint="eastAsia" w:ascii="宋体" w:hAnsi="宋体" w:cs="宋体"/>
          <w:color w:val="000000"/>
          <w:sz w:val="28"/>
          <w:szCs w:val="28"/>
          <w:lang w:val="zh-CN"/>
        </w:rPr>
        <w:t>月</w:t>
      </w:r>
      <w:r>
        <w:rPr>
          <w:rFonts w:hint="eastAsia" w:ascii="宋体" w:hAnsi="宋体" w:cs="宋体"/>
          <w:color w:val="000000"/>
          <w:sz w:val="28"/>
          <w:szCs w:val="28"/>
          <w:lang w:val="en-US" w:eastAsia="zh-CN"/>
        </w:rPr>
        <w:t>21</w:t>
      </w:r>
      <w:r>
        <w:rPr>
          <w:rFonts w:hint="eastAsia" w:ascii="宋体" w:hAnsi="宋体" w:cs="宋体"/>
          <w:color w:val="000000"/>
          <w:sz w:val="28"/>
          <w:szCs w:val="28"/>
          <w:lang w:val="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45A55"/>
    <w:multiLevelType w:val="singleLevel"/>
    <w:tmpl w:val="0A445A55"/>
    <w:lvl w:ilvl="0" w:tentative="0">
      <w:start w:val="1"/>
      <w:numFmt w:val="decimal"/>
      <w:lvlText w:val="%1."/>
      <w:lvlJc w:val="left"/>
      <w:pPr>
        <w:ind w:left="425" w:hanging="425"/>
      </w:pPr>
      <w:rPr>
        <w:rFonts w:hint="default"/>
      </w:rPr>
    </w:lvl>
  </w:abstractNum>
  <w:abstractNum w:abstractNumId="1">
    <w:nsid w:val="540E75D3"/>
    <w:multiLevelType w:val="multilevel"/>
    <w:tmpl w:val="540E75D3"/>
    <w:lvl w:ilvl="0" w:tentative="0">
      <w:start w:val="1"/>
      <w:numFmt w:val="chineseCountingThousand"/>
      <w:lvlText w:val="%1、"/>
      <w:lvlJc w:val="left"/>
      <w:pPr>
        <w:tabs>
          <w:tab w:val="left" w:pos="420"/>
        </w:tabs>
        <w:ind w:left="420" w:hanging="420"/>
      </w:pPr>
    </w:lvl>
    <w:lvl w:ilvl="1" w:tentative="0">
      <w:start w:val="1"/>
      <w:numFmt w:val="chineseCountingThousand"/>
      <w:lvlText w:val="(%2)"/>
      <w:lvlJc w:val="left"/>
      <w:pPr>
        <w:tabs>
          <w:tab w:val="left" w:pos="-147"/>
        </w:tabs>
        <w:ind w:left="-567" w:firstLine="567"/>
      </w:pPr>
      <w:rPr>
        <w:rFonts w:hint="eastAsia"/>
      </w:rPr>
    </w:lvl>
    <w:lvl w:ilvl="2" w:tentative="0">
      <w:start w:val="1"/>
      <w:numFmt w:val="decimal"/>
      <w:lvlText w:val="%3."/>
      <w:lvlJc w:val="left"/>
      <w:pPr>
        <w:tabs>
          <w:tab w:val="left" w:pos="680"/>
        </w:tabs>
        <w:ind w:left="0" w:firstLine="680"/>
      </w:pPr>
      <w:rPr>
        <w:rFonts w:hint="eastAsia"/>
      </w:rPr>
    </w:lvl>
    <w:lvl w:ilvl="3" w:tentative="0">
      <w:start w:val="1"/>
      <w:numFmt w:val="decimal"/>
      <w:lvlText w:val="%4)"/>
      <w:lvlJc w:val="left"/>
      <w:pPr>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9224DFB"/>
    <w:multiLevelType w:val="multilevel"/>
    <w:tmpl w:val="79224DFB"/>
    <w:lvl w:ilvl="0" w:tentative="0">
      <w:start w:val="1"/>
      <w:numFmt w:val="chineseCountingThousand"/>
      <w:pStyle w:val="2"/>
      <w:lvlText w:val="%1、"/>
      <w:lvlJc w:val="left"/>
      <w:pPr>
        <w:ind w:left="425" w:hanging="425"/>
      </w:pPr>
      <w:rPr>
        <w:rFonts w:hint="eastAsia"/>
      </w:rPr>
    </w:lvl>
    <w:lvl w:ilvl="1" w:tentative="0">
      <w:start w:val="1"/>
      <w:numFmt w:val="decimal"/>
      <w:pStyle w:val="5"/>
      <w:isLgl/>
      <w:lvlText w:val="%1.%2"/>
      <w:lvlJc w:val="left"/>
      <w:pPr>
        <w:ind w:left="425" w:hanging="425"/>
      </w:pPr>
      <w:rPr>
        <w:rFonts w:hint="eastAsia"/>
      </w:rPr>
    </w:lvl>
    <w:lvl w:ilvl="2" w:tentative="0">
      <w:start w:val="1"/>
      <w:numFmt w:val="decimal"/>
      <w:pStyle w:val="6"/>
      <w:isLgl/>
      <w:lvlText w:val="%1.%2.%3"/>
      <w:lvlJc w:val="left"/>
      <w:pPr>
        <w:ind w:left="425" w:hanging="425"/>
      </w:pPr>
      <w:rPr>
        <w:rFonts w:hint="eastAsia"/>
      </w:rPr>
    </w:lvl>
    <w:lvl w:ilvl="3" w:tentative="0">
      <w:start w:val="1"/>
      <w:numFmt w:val="decimal"/>
      <w:pStyle w:val="7"/>
      <w:isLgl/>
      <w:lvlText w:val="%1.%2.%3.%4"/>
      <w:lvlJc w:val="left"/>
      <w:pPr>
        <w:ind w:left="425" w:hanging="425"/>
      </w:pPr>
      <w:rPr>
        <w:rFonts w:hint="eastAsia"/>
      </w:rPr>
    </w:lvl>
    <w:lvl w:ilvl="4" w:tentative="0">
      <w:start w:val="1"/>
      <w:numFmt w:val="decimal"/>
      <w:pStyle w:val="8"/>
      <w:isLgl/>
      <w:lvlText w:val="%1.%2.%3.%4.%5"/>
      <w:lvlJc w:val="left"/>
      <w:pPr>
        <w:ind w:left="425" w:hanging="425"/>
      </w:pPr>
      <w:rPr>
        <w:rFonts w:hint="eastAsia"/>
      </w:rPr>
    </w:lvl>
    <w:lvl w:ilvl="5" w:tentative="0">
      <w:start w:val="1"/>
      <w:numFmt w:val="decimal"/>
      <w:pStyle w:val="9"/>
      <w:isLgl/>
      <w:lvlText w:val="%1.%2.%3.%4.%5.%6"/>
      <w:lvlJc w:val="left"/>
      <w:pPr>
        <w:ind w:left="425" w:hanging="425"/>
      </w:pPr>
      <w:rPr>
        <w:rFonts w:hint="eastAsia"/>
      </w:rPr>
    </w:lvl>
    <w:lvl w:ilvl="6" w:tentative="0">
      <w:start w:val="1"/>
      <w:numFmt w:val="decimal"/>
      <w:pStyle w:val="10"/>
      <w:isLgl/>
      <w:lvlText w:val="%1.%2.%3.%4.%5.%6.%7"/>
      <w:lvlJc w:val="left"/>
      <w:pPr>
        <w:ind w:left="425" w:hanging="425"/>
      </w:pPr>
      <w:rPr>
        <w:rFonts w:hint="eastAsia"/>
      </w:rPr>
    </w:lvl>
    <w:lvl w:ilvl="7" w:tentative="0">
      <w:start w:val="1"/>
      <w:numFmt w:val="decimal"/>
      <w:pStyle w:val="11"/>
      <w:isLgl/>
      <w:lvlText w:val="%1.%2.%3.%4.%5.%6.%7.%8"/>
      <w:lvlJc w:val="left"/>
      <w:pPr>
        <w:ind w:left="425" w:hanging="425"/>
      </w:pPr>
      <w:rPr>
        <w:rFonts w:hint="eastAsia"/>
      </w:rPr>
    </w:lvl>
    <w:lvl w:ilvl="8" w:tentative="0">
      <w:start w:val="1"/>
      <w:numFmt w:val="decimal"/>
      <w:lvlText w:val="%1.%2.%3.%4.%5.%6.%7.%8.%9"/>
      <w:lvlJc w:val="left"/>
      <w:pPr>
        <w:tabs>
          <w:tab w:val="left" w:pos="3825"/>
        </w:tabs>
        <w:ind w:left="425" w:hanging="425"/>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xZmI3NWU5MmRjNWM2NDYyMGQyMTExMDM1NWI0YjAifQ=="/>
  </w:docVars>
  <w:rsids>
    <w:rsidRoot w:val="00EC0AF0"/>
    <w:rsid w:val="0000166E"/>
    <w:rsid w:val="000432AD"/>
    <w:rsid w:val="000475E4"/>
    <w:rsid w:val="00050E27"/>
    <w:rsid w:val="00052E37"/>
    <w:rsid w:val="000537F3"/>
    <w:rsid w:val="000733B1"/>
    <w:rsid w:val="000A09BE"/>
    <w:rsid w:val="000B5891"/>
    <w:rsid w:val="000D6495"/>
    <w:rsid w:val="0011441A"/>
    <w:rsid w:val="001233A9"/>
    <w:rsid w:val="00131510"/>
    <w:rsid w:val="0013699C"/>
    <w:rsid w:val="001622CB"/>
    <w:rsid w:val="00185791"/>
    <w:rsid w:val="001A72CE"/>
    <w:rsid w:val="001B4E77"/>
    <w:rsid w:val="001C0081"/>
    <w:rsid w:val="001E1FDD"/>
    <w:rsid w:val="00205B49"/>
    <w:rsid w:val="00222974"/>
    <w:rsid w:val="00237FA2"/>
    <w:rsid w:val="00243386"/>
    <w:rsid w:val="00255CF3"/>
    <w:rsid w:val="00263B07"/>
    <w:rsid w:val="0027055C"/>
    <w:rsid w:val="002856E1"/>
    <w:rsid w:val="00292874"/>
    <w:rsid w:val="002A7A00"/>
    <w:rsid w:val="002C2831"/>
    <w:rsid w:val="002C2C02"/>
    <w:rsid w:val="002D50F3"/>
    <w:rsid w:val="002E59CC"/>
    <w:rsid w:val="00301E91"/>
    <w:rsid w:val="00351374"/>
    <w:rsid w:val="003668F3"/>
    <w:rsid w:val="003735E1"/>
    <w:rsid w:val="00373738"/>
    <w:rsid w:val="00380DF2"/>
    <w:rsid w:val="00387821"/>
    <w:rsid w:val="003925EC"/>
    <w:rsid w:val="003C0DA9"/>
    <w:rsid w:val="00400B63"/>
    <w:rsid w:val="00420851"/>
    <w:rsid w:val="004228CE"/>
    <w:rsid w:val="00444D83"/>
    <w:rsid w:val="0045680A"/>
    <w:rsid w:val="00461245"/>
    <w:rsid w:val="00464009"/>
    <w:rsid w:val="00470B63"/>
    <w:rsid w:val="00480F74"/>
    <w:rsid w:val="004845C9"/>
    <w:rsid w:val="004A3F5F"/>
    <w:rsid w:val="004C0079"/>
    <w:rsid w:val="004C5E01"/>
    <w:rsid w:val="004D06C2"/>
    <w:rsid w:val="004D60D4"/>
    <w:rsid w:val="004E6D2A"/>
    <w:rsid w:val="004F357A"/>
    <w:rsid w:val="004F66FE"/>
    <w:rsid w:val="00521447"/>
    <w:rsid w:val="00522C61"/>
    <w:rsid w:val="0054156D"/>
    <w:rsid w:val="00544C0A"/>
    <w:rsid w:val="00546539"/>
    <w:rsid w:val="00547F49"/>
    <w:rsid w:val="00593A3C"/>
    <w:rsid w:val="005B1CD3"/>
    <w:rsid w:val="005B77C6"/>
    <w:rsid w:val="005E7BCB"/>
    <w:rsid w:val="005F1180"/>
    <w:rsid w:val="00600CC5"/>
    <w:rsid w:val="00623280"/>
    <w:rsid w:val="00631AFD"/>
    <w:rsid w:val="006325BE"/>
    <w:rsid w:val="006367AA"/>
    <w:rsid w:val="00642411"/>
    <w:rsid w:val="00675207"/>
    <w:rsid w:val="006765A1"/>
    <w:rsid w:val="00682CE2"/>
    <w:rsid w:val="0069575F"/>
    <w:rsid w:val="006A0BD9"/>
    <w:rsid w:val="006C3101"/>
    <w:rsid w:val="006D68E2"/>
    <w:rsid w:val="0070110C"/>
    <w:rsid w:val="007012CE"/>
    <w:rsid w:val="00714BFE"/>
    <w:rsid w:val="00717AFF"/>
    <w:rsid w:val="00722144"/>
    <w:rsid w:val="00725DD8"/>
    <w:rsid w:val="007444ED"/>
    <w:rsid w:val="00753971"/>
    <w:rsid w:val="00770A9B"/>
    <w:rsid w:val="007778BA"/>
    <w:rsid w:val="00782152"/>
    <w:rsid w:val="007A3158"/>
    <w:rsid w:val="007A4BFF"/>
    <w:rsid w:val="007B246F"/>
    <w:rsid w:val="007C6133"/>
    <w:rsid w:val="007D07B7"/>
    <w:rsid w:val="007D6A34"/>
    <w:rsid w:val="007F4BEF"/>
    <w:rsid w:val="00823703"/>
    <w:rsid w:val="00831ED3"/>
    <w:rsid w:val="00832A95"/>
    <w:rsid w:val="00860658"/>
    <w:rsid w:val="00860D0C"/>
    <w:rsid w:val="008701DF"/>
    <w:rsid w:val="008815C3"/>
    <w:rsid w:val="008A76C4"/>
    <w:rsid w:val="008C0E01"/>
    <w:rsid w:val="008D0807"/>
    <w:rsid w:val="008D4597"/>
    <w:rsid w:val="008D4ADC"/>
    <w:rsid w:val="008D646D"/>
    <w:rsid w:val="008E20F5"/>
    <w:rsid w:val="009113D6"/>
    <w:rsid w:val="0091687F"/>
    <w:rsid w:val="00926BC2"/>
    <w:rsid w:val="009457D9"/>
    <w:rsid w:val="00946337"/>
    <w:rsid w:val="00951168"/>
    <w:rsid w:val="009561F9"/>
    <w:rsid w:val="00981F72"/>
    <w:rsid w:val="009B2C1A"/>
    <w:rsid w:val="009C1C3E"/>
    <w:rsid w:val="009C444A"/>
    <w:rsid w:val="009E52CF"/>
    <w:rsid w:val="009E636C"/>
    <w:rsid w:val="009F2FB7"/>
    <w:rsid w:val="00A03146"/>
    <w:rsid w:val="00A10542"/>
    <w:rsid w:val="00A11460"/>
    <w:rsid w:val="00A1463A"/>
    <w:rsid w:val="00A17885"/>
    <w:rsid w:val="00A5544C"/>
    <w:rsid w:val="00A64426"/>
    <w:rsid w:val="00A86930"/>
    <w:rsid w:val="00A91233"/>
    <w:rsid w:val="00A92393"/>
    <w:rsid w:val="00A930DA"/>
    <w:rsid w:val="00A93DC1"/>
    <w:rsid w:val="00AA28F3"/>
    <w:rsid w:val="00AA49CA"/>
    <w:rsid w:val="00AA789F"/>
    <w:rsid w:val="00AC1183"/>
    <w:rsid w:val="00AC5804"/>
    <w:rsid w:val="00AD5209"/>
    <w:rsid w:val="00AE610C"/>
    <w:rsid w:val="00AF2342"/>
    <w:rsid w:val="00AF5A8D"/>
    <w:rsid w:val="00B10F9D"/>
    <w:rsid w:val="00B1324F"/>
    <w:rsid w:val="00B20761"/>
    <w:rsid w:val="00B43778"/>
    <w:rsid w:val="00B45982"/>
    <w:rsid w:val="00B85F94"/>
    <w:rsid w:val="00B86B9D"/>
    <w:rsid w:val="00B97313"/>
    <w:rsid w:val="00B97BCC"/>
    <w:rsid w:val="00BA2A3B"/>
    <w:rsid w:val="00BB0FD6"/>
    <w:rsid w:val="00BB6B3E"/>
    <w:rsid w:val="00BC0EBB"/>
    <w:rsid w:val="00BD38FA"/>
    <w:rsid w:val="00BF24AC"/>
    <w:rsid w:val="00BF7956"/>
    <w:rsid w:val="00C016DB"/>
    <w:rsid w:val="00C0327C"/>
    <w:rsid w:val="00C10268"/>
    <w:rsid w:val="00C50E37"/>
    <w:rsid w:val="00C71227"/>
    <w:rsid w:val="00C7435C"/>
    <w:rsid w:val="00C85B3B"/>
    <w:rsid w:val="00CB1B67"/>
    <w:rsid w:val="00CB64E5"/>
    <w:rsid w:val="00CB7442"/>
    <w:rsid w:val="00CD57A5"/>
    <w:rsid w:val="00CE15DF"/>
    <w:rsid w:val="00D104D2"/>
    <w:rsid w:val="00D20D1A"/>
    <w:rsid w:val="00D2734D"/>
    <w:rsid w:val="00D30A79"/>
    <w:rsid w:val="00D42E32"/>
    <w:rsid w:val="00D80D14"/>
    <w:rsid w:val="00D955DD"/>
    <w:rsid w:val="00DB5020"/>
    <w:rsid w:val="00DE730D"/>
    <w:rsid w:val="00DF4D51"/>
    <w:rsid w:val="00E14132"/>
    <w:rsid w:val="00E31C4B"/>
    <w:rsid w:val="00E43928"/>
    <w:rsid w:val="00E600B5"/>
    <w:rsid w:val="00E95688"/>
    <w:rsid w:val="00EA4BD9"/>
    <w:rsid w:val="00EB4315"/>
    <w:rsid w:val="00EB4358"/>
    <w:rsid w:val="00EB6EAC"/>
    <w:rsid w:val="00EC0AF0"/>
    <w:rsid w:val="00EC2B02"/>
    <w:rsid w:val="00EC7444"/>
    <w:rsid w:val="00EF4EDE"/>
    <w:rsid w:val="00EF6306"/>
    <w:rsid w:val="00F15D5C"/>
    <w:rsid w:val="00F45E34"/>
    <w:rsid w:val="00FB257D"/>
    <w:rsid w:val="00FE11DD"/>
    <w:rsid w:val="00FE641A"/>
    <w:rsid w:val="00FF4AC2"/>
    <w:rsid w:val="0247218E"/>
    <w:rsid w:val="025E2E9D"/>
    <w:rsid w:val="1CF176D1"/>
    <w:rsid w:val="276C0D57"/>
    <w:rsid w:val="2C997EA0"/>
    <w:rsid w:val="2F7D0BC1"/>
    <w:rsid w:val="3656258D"/>
    <w:rsid w:val="39546450"/>
    <w:rsid w:val="41E20B4C"/>
    <w:rsid w:val="463237C9"/>
    <w:rsid w:val="4A916469"/>
    <w:rsid w:val="4EEA5C23"/>
    <w:rsid w:val="69801924"/>
    <w:rsid w:val="731832D9"/>
    <w:rsid w:val="7AAB611E"/>
    <w:rsid w:val="7BAB0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2">
    <w:name w:val="heading 2"/>
    <w:basedOn w:val="1"/>
    <w:next w:val="3"/>
    <w:link w:val="30"/>
    <w:qFormat/>
    <w:uiPriority w:val="9"/>
    <w:pPr>
      <w:keepNext/>
      <w:keepLines/>
      <w:numPr>
        <w:ilvl w:val="0"/>
        <w:numId w:val="1"/>
      </w:numPr>
      <w:spacing w:before="260" w:after="260" w:line="416" w:lineRule="auto"/>
      <w:jc w:val="left"/>
      <w:outlineLvl w:val="1"/>
    </w:pPr>
    <w:rPr>
      <w:rFonts w:asciiTheme="majorHAnsi" w:hAnsiTheme="majorHAnsi" w:eastAsiaTheme="majorEastAsia" w:cstheme="majorBidi"/>
      <w:b/>
      <w:bCs/>
      <w:sz w:val="32"/>
      <w:szCs w:val="32"/>
    </w:rPr>
  </w:style>
  <w:style w:type="paragraph" w:styleId="5">
    <w:name w:val="heading 3"/>
    <w:basedOn w:val="1"/>
    <w:next w:val="1"/>
    <w:link w:val="31"/>
    <w:qFormat/>
    <w:uiPriority w:val="9"/>
    <w:pPr>
      <w:keepNext/>
      <w:keepLines/>
      <w:numPr>
        <w:ilvl w:val="1"/>
        <w:numId w:val="1"/>
      </w:numPr>
      <w:spacing w:before="260" w:after="260" w:line="416" w:lineRule="auto"/>
      <w:jc w:val="left"/>
      <w:outlineLvl w:val="2"/>
    </w:pPr>
    <w:rPr>
      <w:rFonts w:asciiTheme="minorHAnsi" w:hAnsiTheme="minorHAnsi" w:eastAsiaTheme="minorEastAsia" w:cstheme="minorBidi"/>
      <w:b/>
      <w:bCs/>
      <w:sz w:val="32"/>
      <w:szCs w:val="32"/>
    </w:rPr>
  </w:style>
  <w:style w:type="paragraph" w:styleId="6">
    <w:name w:val="heading 4"/>
    <w:basedOn w:val="1"/>
    <w:next w:val="1"/>
    <w:link w:val="32"/>
    <w:qFormat/>
    <w:uiPriority w:val="9"/>
    <w:pPr>
      <w:keepNext/>
      <w:keepLines/>
      <w:numPr>
        <w:ilvl w:val="2"/>
        <w:numId w:val="1"/>
      </w:numPr>
      <w:spacing w:before="280" w:after="290" w:line="376" w:lineRule="auto"/>
      <w:jc w:val="left"/>
      <w:outlineLvl w:val="3"/>
    </w:pPr>
    <w:rPr>
      <w:rFonts w:asciiTheme="majorHAnsi" w:hAnsiTheme="majorHAnsi" w:eastAsiaTheme="majorEastAsia" w:cstheme="majorBidi"/>
      <w:b/>
      <w:bCs/>
      <w:sz w:val="28"/>
      <w:szCs w:val="28"/>
    </w:rPr>
  </w:style>
  <w:style w:type="paragraph" w:styleId="7">
    <w:name w:val="heading 5"/>
    <w:basedOn w:val="1"/>
    <w:next w:val="1"/>
    <w:link w:val="33"/>
    <w:qFormat/>
    <w:uiPriority w:val="9"/>
    <w:pPr>
      <w:keepNext/>
      <w:keepLines/>
      <w:numPr>
        <w:ilvl w:val="3"/>
        <w:numId w:val="1"/>
      </w:numPr>
      <w:spacing w:before="280" w:after="290" w:line="376" w:lineRule="auto"/>
      <w:jc w:val="left"/>
      <w:outlineLvl w:val="4"/>
    </w:pPr>
    <w:rPr>
      <w:rFonts w:asciiTheme="minorHAnsi" w:hAnsiTheme="minorHAnsi" w:eastAsiaTheme="minorEastAsia" w:cstheme="minorBidi"/>
      <w:b/>
      <w:bCs/>
      <w:sz w:val="28"/>
      <w:szCs w:val="28"/>
    </w:rPr>
  </w:style>
  <w:style w:type="paragraph" w:styleId="8">
    <w:name w:val="heading 6"/>
    <w:basedOn w:val="1"/>
    <w:next w:val="1"/>
    <w:link w:val="34"/>
    <w:qFormat/>
    <w:uiPriority w:val="9"/>
    <w:pPr>
      <w:keepNext/>
      <w:keepLines/>
      <w:numPr>
        <w:ilvl w:val="4"/>
        <w:numId w:val="1"/>
      </w:numPr>
      <w:spacing w:before="240" w:after="64" w:line="320" w:lineRule="auto"/>
      <w:jc w:val="left"/>
      <w:outlineLvl w:val="5"/>
    </w:pPr>
    <w:rPr>
      <w:rFonts w:asciiTheme="majorHAnsi" w:hAnsiTheme="majorHAnsi" w:eastAsiaTheme="majorEastAsia" w:cstheme="majorBidi"/>
      <w:b/>
      <w:bCs/>
      <w:sz w:val="24"/>
    </w:rPr>
  </w:style>
  <w:style w:type="paragraph" w:styleId="9">
    <w:name w:val="heading 7"/>
    <w:basedOn w:val="1"/>
    <w:next w:val="1"/>
    <w:link w:val="35"/>
    <w:qFormat/>
    <w:uiPriority w:val="9"/>
    <w:pPr>
      <w:keepNext/>
      <w:keepLines/>
      <w:numPr>
        <w:ilvl w:val="5"/>
        <w:numId w:val="1"/>
      </w:numPr>
      <w:spacing w:before="240" w:after="64" w:line="320" w:lineRule="auto"/>
      <w:jc w:val="left"/>
      <w:outlineLvl w:val="6"/>
    </w:pPr>
    <w:rPr>
      <w:rFonts w:asciiTheme="minorHAnsi" w:hAnsiTheme="minorHAnsi" w:eastAsiaTheme="minorEastAsia" w:cstheme="minorBidi"/>
      <w:b/>
      <w:bCs/>
      <w:sz w:val="24"/>
    </w:rPr>
  </w:style>
  <w:style w:type="paragraph" w:styleId="10">
    <w:name w:val="heading 8"/>
    <w:basedOn w:val="1"/>
    <w:next w:val="1"/>
    <w:link w:val="36"/>
    <w:qFormat/>
    <w:uiPriority w:val="9"/>
    <w:pPr>
      <w:keepNext/>
      <w:keepLines/>
      <w:numPr>
        <w:ilvl w:val="6"/>
        <w:numId w:val="1"/>
      </w:numPr>
      <w:spacing w:before="240" w:after="64" w:line="320" w:lineRule="auto"/>
      <w:jc w:val="left"/>
      <w:outlineLvl w:val="7"/>
    </w:pPr>
    <w:rPr>
      <w:rFonts w:asciiTheme="majorHAnsi" w:hAnsiTheme="majorHAnsi" w:eastAsiaTheme="majorEastAsia" w:cstheme="majorBidi"/>
      <w:sz w:val="24"/>
    </w:rPr>
  </w:style>
  <w:style w:type="paragraph" w:styleId="11">
    <w:name w:val="heading 9"/>
    <w:basedOn w:val="1"/>
    <w:next w:val="1"/>
    <w:link w:val="37"/>
    <w:qFormat/>
    <w:uiPriority w:val="9"/>
    <w:pPr>
      <w:keepNext/>
      <w:keepLines/>
      <w:numPr>
        <w:ilvl w:val="7"/>
        <w:numId w:val="1"/>
      </w:numPr>
      <w:spacing w:before="240" w:after="64" w:line="320" w:lineRule="auto"/>
      <w:jc w:val="left"/>
      <w:outlineLvl w:val="8"/>
    </w:pPr>
    <w:rPr>
      <w:rFonts w:asciiTheme="majorHAnsi" w:hAnsiTheme="majorHAnsi" w:eastAsiaTheme="majorEastAsia" w:cstheme="majorBidi"/>
      <w:sz w:val="24"/>
      <w:szCs w:val="21"/>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tabs>
        <w:tab w:val="left" w:pos="1040"/>
      </w:tabs>
      <w:ind w:firstLine="420" w:firstLineChars="200"/>
    </w:pPr>
  </w:style>
  <w:style w:type="paragraph" w:styleId="12">
    <w:name w:val="annotation text"/>
    <w:basedOn w:val="1"/>
    <w:link w:val="21"/>
    <w:unhideWhenUsed/>
    <w:qFormat/>
    <w:uiPriority w:val="0"/>
    <w:pPr>
      <w:jc w:val="left"/>
    </w:pPr>
  </w:style>
  <w:style w:type="paragraph" w:styleId="13">
    <w:name w:val="Balloon Text"/>
    <w:basedOn w:val="1"/>
    <w:link w:val="23"/>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2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annotation subject"/>
    <w:basedOn w:val="12"/>
    <w:next w:val="12"/>
    <w:link w:val="22"/>
    <w:semiHidden/>
    <w:unhideWhenUsed/>
    <w:qFormat/>
    <w:uiPriority w:val="99"/>
    <w:rPr>
      <w:b/>
      <w:bCs/>
    </w:rPr>
  </w:style>
  <w:style w:type="character" w:styleId="20">
    <w:name w:val="annotation reference"/>
    <w:basedOn w:val="19"/>
    <w:unhideWhenUsed/>
    <w:qFormat/>
    <w:uiPriority w:val="0"/>
    <w:rPr>
      <w:sz w:val="21"/>
      <w:szCs w:val="21"/>
    </w:rPr>
  </w:style>
  <w:style w:type="character" w:customStyle="1" w:styleId="21">
    <w:name w:val="批注文字 字符"/>
    <w:basedOn w:val="19"/>
    <w:link w:val="12"/>
    <w:semiHidden/>
    <w:qFormat/>
    <w:uiPriority w:val="99"/>
    <w:rPr>
      <w:rFonts w:ascii="Times New Roman" w:hAnsi="Times New Roman" w:eastAsia="宋体" w:cs="Times New Roman"/>
      <w:szCs w:val="24"/>
    </w:rPr>
  </w:style>
  <w:style w:type="character" w:customStyle="1" w:styleId="22">
    <w:name w:val="批注主题 字符"/>
    <w:basedOn w:val="21"/>
    <w:link w:val="17"/>
    <w:semiHidden/>
    <w:qFormat/>
    <w:uiPriority w:val="99"/>
    <w:rPr>
      <w:rFonts w:ascii="Times New Roman" w:hAnsi="Times New Roman" w:eastAsia="宋体" w:cs="Times New Roman"/>
      <w:b/>
      <w:bCs/>
      <w:szCs w:val="24"/>
    </w:rPr>
  </w:style>
  <w:style w:type="character" w:customStyle="1" w:styleId="23">
    <w:name w:val="批注框文本 字符"/>
    <w:basedOn w:val="19"/>
    <w:link w:val="13"/>
    <w:semiHidden/>
    <w:qFormat/>
    <w:uiPriority w:val="99"/>
    <w:rPr>
      <w:rFonts w:ascii="Times New Roman" w:hAnsi="Times New Roman" w:eastAsia="宋体" w:cs="Times New Roman"/>
      <w:sz w:val="18"/>
      <w:szCs w:val="18"/>
    </w:rPr>
  </w:style>
  <w:style w:type="paragraph" w:styleId="24">
    <w:name w:val="List Paragraph"/>
    <w:basedOn w:val="1"/>
    <w:qFormat/>
    <w:uiPriority w:val="99"/>
    <w:pPr>
      <w:ind w:firstLine="420" w:firstLineChars="200"/>
    </w:pPr>
  </w:style>
  <w:style w:type="paragraph" w:customStyle="1" w:styleId="25">
    <w:name w:val="列出段落1"/>
    <w:basedOn w:val="1"/>
    <w:qFormat/>
    <w:uiPriority w:val="34"/>
    <w:pPr>
      <w:widowControl/>
      <w:adjustRightInd w:val="0"/>
      <w:snapToGrid w:val="0"/>
      <w:spacing w:after="200"/>
      <w:ind w:left="1200" w:leftChars="100" w:right="100" w:rightChars="100" w:firstLine="420" w:firstLineChars="200"/>
      <w:jc w:val="left"/>
    </w:pPr>
    <w:rPr>
      <w:rFonts w:ascii="宋体" w:hAnsi="Tahoma"/>
      <w:kern w:val="0"/>
      <w:sz w:val="24"/>
      <w:szCs w:val="22"/>
    </w:rPr>
  </w:style>
  <w:style w:type="character" w:customStyle="1" w:styleId="26">
    <w:name w:val="批注文字 Char"/>
    <w:qFormat/>
    <w:uiPriority w:val="0"/>
    <w:rPr>
      <w:kern w:val="2"/>
      <w:sz w:val="21"/>
    </w:rPr>
  </w:style>
  <w:style w:type="character" w:customStyle="1" w:styleId="27">
    <w:name w:val="HTML 预设格式 字符"/>
    <w:basedOn w:val="19"/>
    <w:link w:val="16"/>
    <w:semiHidden/>
    <w:qFormat/>
    <w:uiPriority w:val="99"/>
    <w:rPr>
      <w:rFonts w:ascii="宋体" w:hAnsi="宋体" w:eastAsia="宋体" w:cs="宋体"/>
      <w:kern w:val="0"/>
      <w:sz w:val="24"/>
      <w:szCs w:val="24"/>
    </w:rPr>
  </w:style>
  <w:style w:type="character" w:customStyle="1" w:styleId="28">
    <w:name w:val="页眉 字符"/>
    <w:basedOn w:val="19"/>
    <w:link w:val="15"/>
    <w:qFormat/>
    <w:uiPriority w:val="99"/>
    <w:rPr>
      <w:rFonts w:ascii="Times New Roman" w:hAnsi="Times New Roman" w:eastAsia="宋体" w:cs="Times New Roman"/>
      <w:sz w:val="18"/>
      <w:szCs w:val="18"/>
    </w:rPr>
  </w:style>
  <w:style w:type="character" w:customStyle="1" w:styleId="29">
    <w:name w:val="页脚 字符"/>
    <w:basedOn w:val="19"/>
    <w:link w:val="14"/>
    <w:qFormat/>
    <w:uiPriority w:val="99"/>
    <w:rPr>
      <w:rFonts w:ascii="Times New Roman" w:hAnsi="Times New Roman" w:eastAsia="宋体" w:cs="Times New Roman"/>
      <w:sz w:val="18"/>
      <w:szCs w:val="18"/>
    </w:rPr>
  </w:style>
  <w:style w:type="character" w:customStyle="1" w:styleId="30">
    <w:name w:val="标题 2 字符"/>
    <w:basedOn w:val="19"/>
    <w:link w:val="2"/>
    <w:qFormat/>
    <w:uiPriority w:val="9"/>
    <w:rPr>
      <w:rFonts w:asciiTheme="majorHAnsi" w:hAnsiTheme="majorHAnsi" w:eastAsiaTheme="majorEastAsia" w:cstheme="majorBidi"/>
      <w:b/>
      <w:bCs/>
      <w:sz w:val="32"/>
      <w:szCs w:val="32"/>
    </w:rPr>
  </w:style>
  <w:style w:type="character" w:customStyle="1" w:styleId="31">
    <w:name w:val="标题 3 字符"/>
    <w:basedOn w:val="19"/>
    <w:link w:val="5"/>
    <w:qFormat/>
    <w:uiPriority w:val="9"/>
    <w:rPr>
      <w:b/>
      <w:bCs/>
      <w:sz w:val="32"/>
      <w:szCs w:val="32"/>
    </w:rPr>
  </w:style>
  <w:style w:type="character" w:customStyle="1" w:styleId="32">
    <w:name w:val="标题 4 字符"/>
    <w:basedOn w:val="19"/>
    <w:link w:val="6"/>
    <w:qFormat/>
    <w:uiPriority w:val="9"/>
    <w:rPr>
      <w:rFonts w:asciiTheme="majorHAnsi" w:hAnsiTheme="majorHAnsi" w:eastAsiaTheme="majorEastAsia" w:cstheme="majorBidi"/>
      <w:b/>
      <w:bCs/>
      <w:sz w:val="28"/>
      <w:szCs w:val="28"/>
    </w:rPr>
  </w:style>
  <w:style w:type="character" w:customStyle="1" w:styleId="33">
    <w:name w:val="标题 5 字符"/>
    <w:basedOn w:val="19"/>
    <w:link w:val="7"/>
    <w:qFormat/>
    <w:uiPriority w:val="9"/>
    <w:rPr>
      <w:b/>
      <w:bCs/>
      <w:sz w:val="28"/>
      <w:szCs w:val="28"/>
    </w:rPr>
  </w:style>
  <w:style w:type="character" w:customStyle="1" w:styleId="34">
    <w:name w:val="标题 6 字符"/>
    <w:basedOn w:val="19"/>
    <w:link w:val="8"/>
    <w:qFormat/>
    <w:uiPriority w:val="9"/>
    <w:rPr>
      <w:rFonts w:asciiTheme="majorHAnsi" w:hAnsiTheme="majorHAnsi" w:eastAsiaTheme="majorEastAsia" w:cstheme="majorBidi"/>
      <w:b/>
      <w:bCs/>
      <w:sz w:val="24"/>
      <w:szCs w:val="24"/>
    </w:rPr>
  </w:style>
  <w:style w:type="character" w:customStyle="1" w:styleId="35">
    <w:name w:val="标题 7 字符"/>
    <w:basedOn w:val="19"/>
    <w:link w:val="9"/>
    <w:qFormat/>
    <w:uiPriority w:val="9"/>
    <w:rPr>
      <w:b/>
      <w:bCs/>
      <w:sz w:val="24"/>
      <w:szCs w:val="24"/>
    </w:rPr>
  </w:style>
  <w:style w:type="character" w:customStyle="1" w:styleId="36">
    <w:name w:val="标题 8 字符"/>
    <w:basedOn w:val="19"/>
    <w:link w:val="10"/>
    <w:qFormat/>
    <w:uiPriority w:val="9"/>
    <w:rPr>
      <w:rFonts w:asciiTheme="majorHAnsi" w:hAnsiTheme="majorHAnsi" w:eastAsiaTheme="majorEastAsia" w:cstheme="majorBidi"/>
      <w:sz w:val="24"/>
      <w:szCs w:val="24"/>
    </w:rPr>
  </w:style>
  <w:style w:type="character" w:customStyle="1" w:styleId="37">
    <w:name w:val="标题 9 字符"/>
    <w:basedOn w:val="19"/>
    <w:link w:val="11"/>
    <w:qFormat/>
    <w:uiPriority w:val="9"/>
    <w:rPr>
      <w:rFonts w:asciiTheme="majorHAnsi" w:hAnsiTheme="majorHAnsi" w:eastAsiaTheme="majorEastAsia" w:cstheme="majorBidi"/>
      <w:sz w:val="24"/>
      <w:szCs w:val="21"/>
    </w:rPr>
  </w:style>
  <w:style w:type="character" w:customStyle="1" w:styleId="38">
    <w:name w:val="标题 1 字符"/>
    <w:basedOn w:val="19"/>
    <w:link w:val="4"/>
    <w:qFormat/>
    <w:uiPriority w:val="9"/>
    <w:rPr>
      <w:rFonts w:ascii="Times New Roman" w:hAnsi="Times New Roman" w:eastAsia="宋体" w:cs="Times New Roman"/>
      <w:b/>
      <w:bCs/>
      <w:kern w:val="44"/>
      <w:sz w:val="44"/>
      <w:szCs w:val="44"/>
    </w:rPr>
  </w:style>
  <w:style w:type="paragraph" w:customStyle="1" w:styleId="39">
    <w:name w:val="Default"/>
    <w:qForma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2543</Words>
  <Characters>2626</Characters>
  <Lines>18</Lines>
  <Paragraphs>5</Paragraphs>
  <TotalTime>2</TotalTime>
  <ScaleCrop>false</ScaleCrop>
  <LinksUpToDate>false</LinksUpToDate>
  <CharactersWithSpaces>2756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2022-10-17T02:18:00Z</dcterms:created>
  <dc:creator>吴晓悦</dc:creator>
  <cp:lastModifiedBy>王瑞锋</cp:lastModifiedBy>
  <cp:lastPrinted>2018-03-19T09:00:00Z</cp:lastPrinted>
  <dcterms:modified xsi:type="dcterms:W3CDTF">2022-10-20T03:24:37Z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ED12D7017B094FA98105FDE1BABD3F44</vt:lpwstr>
  </property>
</Properties>
</file>